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46F7D" w14:textId="77777777" w:rsidR="00881371" w:rsidRPr="00383F83" w:rsidRDefault="00881371" w:rsidP="00881371">
      <w:pPr>
        <w:jc w:val="center"/>
        <w:rPr>
          <w:b/>
          <w:sz w:val="24"/>
          <w:szCs w:val="28"/>
        </w:rPr>
      </w:pPr>
      <w:bookmarkStart w:id="0" w:name="_GoBack"/>
      <w:bookmarkEnd w:id="0"/>
      <w:r w:rsidRPr="00383F83">
        <w:rPr>
          <w:b/>
          <w:sz w:val="24"/>
          <w:szCs w:val="28"/>
        </w:rPr>
        <w:t xml:space="preserve">Convenzione tra </w:t>
      </w:r>
    </w:p>
    <w:p w14:paraId="4306150E" w14:textId="77777777" w:rsidR="00881371" w:rsidRPr="00383F83" w:rsidRDefault="00971F34" w:rsidP="00881371">
      <w:pPr>
        <w:jc w:val="center"/>
        <w:rPr>
          <w:b/>
          <w:sz w:val="24"/>
          <w:szCs w:val="28"/>
        </w:rPr>
      </w:pPr>
      <w:r>
        <w:rPr>
          <w:b/>
          <w:sz w:val="24"/>
          <w:szCs w:val="28"/>
        </w:rPr>
        <w:t>il Dipartimento di Economia, Ingegneria, Società e Impresa dell’Università degli Studi della Tuscia</w:t>
      </w:r>
      <w:r w:rsidR="00881371" w:rsidRPr="00383F83">
        <w:rPr>
          <w:b/>
          <w:sz w:val="24"/>
          <w:szCs w:val="28"/>
        </w:rPr>
        <w:t xml:space="preserve"> </w:t>
      </w:r>
    </w:p>
    <w:p w14:paraId="5B62A3A9" w14:textId="77777777" w:rsidR="00881371" w:rsidRPr="00383F83" w:rsidRDefault="00881371" w:rsidP="00881371">
      <w:pPr>
        <w:jc w:val="center"/>
        <w:rPr>
          <w:b/>
          <w:sz w:val="24"/>
          <w:szCs w:val="28"/>
        </w:rPr>
      </w:pPr>
      <w:r w:rsidRPr="00383F83">
        <w:rPr>
          <w:b/>
          <w:sz w:val="24"/>
          <w:szCs w:val="28"/>
        </w:rPr>
        <w:t xml:space="preserve">e ________________________ </w:t>
      </w:r>
    </w:p>
    <w:p w14:paraId="722D619C" w14:textId="77777777" w:rsidR="00881371" w:rsidRPr="00383F83" w:rsidRDefault="00881371" w:rsidP="00383F83">
      <w:pPr>
        <w:spacing w:after="0"/>
        <w:jc w:val="center"/>
        <w:rPr>
          <w:b/>
          <w:sz w:val="24"/>
          <w:szCs w:val="28"/>
        </w:rPr>
      </w:pPr>
      <w:r w:rsidRPr="00383F83">
        <w:rPr>
          <w:b/>
          <w:sz w:val="24"/>
          <w:szCs w:val="28"/>
        </w:rPr>
        <w:t>relativamente alle attività del Master di I livello in</w:t>
      </w:r>
    </w:p>
    <w:p w14:paraId="520687FF" w14:textId="77777777" w:rsidR="00C435C6" w:rsidRPr="00383F83" w:rsidRDefault="00881371" w:rsidP="00383F83">
      <w:pPr>
        <w:spacing w:after="0"/>
        <w:jc w:val="center"/>
        <w:rPr>
          <w:b/>
          <w:sz w:val="24"/>
          <w:szCs w:val="28"/>
        </w:rPr>
      </w:pPr>
      <w:r w:rsidRPr="00383F83">
        <w:rPr>
          <w:b/>
          <w:sz w:val="24"/>
          <w:szCs w:val="28"/>
        </w:rPr>
        <w:t xml:space="preserve"> “Scienze criminologiche e forensi, investigazioni e sicurezza” (</w:t>
      </w:r>
      <w:r w:rsidR="00FB71A1">
        <w:rPr>
          <w:b/>
          <w:sz w:val="24"/>
          <w:szCs w:val="28"/>
        </w:rPr>
        <w:t>CRISIS</w:t>
      </w:r>
      <w:r w:rsidR="00C9439D">
        <w:rPr>
          <w:b/>
          <w:sz w:val="24"/>
          <w:szCs w:val="28"/>
        </w:rPr>
        <w:t>)</w:t>
      </w:r>
    </w:p>
    <w:p w14:paraId="5F9C11E2" w14:textId="77777777" w:rsidR="00FD32A1" w:rsidRPr="00FD32A1" w:rsidRDefault="00FD32A1" w:rsidP="00FD32A1">
      <w:pPr>
        <w:jc w:val="both"/>
      </w:pPr>
    </w:p>
    <w:p w14:paraId="0166F98D" w14:textId="77777777" w:rsidR="00FD32A1" w:rsidRPr="00FD32A1" w:rsidRDefault="00971F34" w:rsidP="00FD32A1">
      <w:pPr>
        <w:jc w:val="both"/>
      </w:pPr>
      <w:r>
        <w:t>Il Dipartimento di Economia, Ingegneria, Società e Impresa dell’Università degli Studi della Tuscia</w:t>
      </w:r>
      <w:r w:rsidR="00FD32A1" w:rsidRPr="00FD32A1">
        <w:t>, di seguito denominat</w:t>
      </w:r>
      <w:r>
        <w:t>o</w:t>
      </w:r>
      <w:r w:rsidR="00FD32A1" w:rsidRPr="00FD32A1">
        <w:t xml:space="preserve"> </w:t>
      </w:r>
      <w:r>
        <w:t>DEIM</w:t>
      </w:r>
      <w:r w:rsidR="00FD32A1" w:rsidRPr="00FD32A1">
        <w:t xml:space="preserve">, nella persona del </w:t>
      </w:r>
      <w:r>
        <w:t>Direttore</w:t>
      </w:r>
      <w:r w:rsidR="00FD32A1" w:rsidRPr="00FD32A1">
        <w:t xml:space="preserve"> </w:t>
      </w:r>
      <w:r>
        <w:t>Stefano Ubertini</w:t>
      </w:r>
      <w:r w:rsidR="00FD32A1" w:rsidRPr="00FD32A1">
        <w:t xml:space="preserve"> nato a </w:t>
      </w:r>
      <w:r>
        <w:t>Perugia il 9.7.1974</w:t>
      </w:r>
      <w:r w:rsidR="00FD32A1" w:rsidRPr="00FD32A1">
        <w:t xml:space="preserve">, domiciliato, per la carica presso la sede </w:t>
      </w:r>
      <w:r>
        <w:t>del DEIM</w:t>
      </w:r>
      <w:r w:rsidR="00FD32A1" w:rsidRPr="00FD32A1">
        <w:t xml:space="preserve">, Via </w:t>
      </w:r>
      <w:r>
        <w:t>del Paradiso, 47</w:t>
      </w:r>
      <w:r w:rsidR="00FD32A1" w:rsidRPr="00FD32A1">
        <w:t xml:space="preserve"> </w:t>
      </w:r>
    </w:p>
    <w:p w14:paraId="66803FA8" w14:textId="77777777" w:rsidR="0062092E" w:rsidRPr="00383F83" w:rsidRDefault="00FD32A1" w:rsidP="00FD32A1">
      <w:pPr>
        <w:jc w:val="both"/>
        <w:rPr>
          <w:b/>
        </w:rPr>
      </w:pPr>
      <w:r>
        <w:t xml:space="preserve">e ___________________________, </w:t>
      </w:r>
      <w:r w:rsidR="0062092E">
        <w:t xml:space="preserve">rappresentato/a da ______________________ nella qualità </w:t>
      </w:r>
      <w:r w:rsidR="00F079D5">
        <w:t>di ____________________________,</w:t>
      </w:r>
      <w:r w:rsidR="0062092E">
        <w:t xml:space="preserve"> considerato il comune interesse a svolgere insieme attività inerenti il Master </w:t>
      </w:r>
      <w:r w:rsidR="00F079D5">
        <w:t>di I livello in Scienze criminologiche e forensi, investigazioni e sicurezza (</w:t>
      </w:r>
      <w:r w:rsidR="0062092E">
        <w:t>CRISIS</w:t>
      </w:r>
      <w:r w:rsidR="00F079D5">
        <w:t>)</w:t>
      </w:r>
      <w:r>
        <w:t xml:space="preserve"> </w:t>
      </w:r>
      <w:r w:rsidR="00FA34A6">
        <w:t>si impegnano a sottoscrivere la sottonotata convenzione</w:t>
      </w:r>
    </w:p>
    <w:p w14:paraId="6116FB07" w14:textId="77777777" w:rsidR="00A54C18" w:rsidRPr="0062092E" w:rsidRDefault="0062092E" w:rsidP="0062092E">
      <w:pPr>
        <w:jc w:val="center"/>
        <w:rPr>
          <w:b/>
        </w:rPr>
      </w:pPr>
      <w:r>
        <w:rPr>
          <w:b/>
        </w:rPr>
        <w:t>p</w:t>
      </w:r>
      <w:r w:rsidR="00A54C18" w:rsidRPr="0062092E">
        <w:rPr>
          <w:b/>
        </w:rPr>
        <w:t>remesso</w:t>
      </w:r>
    </w:p>
    <w:p w14:paraId="49A92F88" w14:textId="77777777" w:rsidR="00527C34" w:rsidRDefault="00A54C18" w:rsidP="00971F34">
      <w:pPr>
        <w:pStyle w:val="Paragrafoelenco"/>
        <w:numPr>
          <w:ilvl w:val="0"/>
          <w:numId w:val="2"/>
        </w:numPr>
        <w:jc w:val="both"/>
      </w:pPr>
      <w:r>
        <w:t xml:space="preserve">che </w:t>
      </w:r>
      <w:r w:rsidR="00971F34">
        <w:t>l’Università degli Studi della Tuscia</w:t>
      </w:r>
      <w:r>
        <w:t xml:space="preserve"> ha sottoscritto numerose convenzioni tese a valorizzare </w:t>
      </w:r>
      <w:r w:rsidR="00527C34">
        <w:t>le forme di collaborazione con altri soggetti pubblici e privati operanti nel territorio regionale e nazionale;</w:t>
      </w:r>
    </w:p>
    <w:p w14:paraId="7A915523" w14:textId="77777777" w:rsidR="00527C34" w:rsidRDefault="00527C34" w:rsidP="00A551D4">
      <w:pPr>
        <w:pStyle w:val="Paragrafoelenco"/>
        <w:numPr>
          <w:ilvl w:val="0"/>
          <w:numId w:val="2"/>
        </w:numPr>
        <w:jc w:val="both"/>
      </w:pPr>
      <w:r>
        <w:t>che la formazione del personale rappresenta un valore strategico per lo sviluppo territoriale e sociale, nonché per il posizionamento globale dei soggetti pubblici e privati;</w:t>
      </w:r>
    </w:p>
    <w:p w14:paraId="347C0CA9" w14:textId="77777777" w:rsidR="00A551D4" w:rsidRDefault="00A551D4" w:rsidP="00A551D4">
      <w:pPr>
        <w:pStyle w:val="Paragrafoelenco"/>
        <w:numPr>
          <w:ilvl w:val="0"/>
          <w:numId w:val="2"/>
        </w:numPr>
        <w:jc w:val="both"/>
      </w:pPr>
      <w:r>
        <w:t xml:space="preserve">che </w:t>
      </w:r>
      <w:r w:rsidR="00971F34">
        <w:t>il DEIM</w:t>
      </w:r>
      <w:r>
        <w:t>, nell’ambito della propria offerta formativa, ha istituito il Master in Scienze criminologiche e forensi, investigazioni e si</w:t>
      </w:r>
      <w:r w:rsidR="0075307A">
        <w:t>curezza a partire dall’</w:t>
      </w:r>
      <w:proofErr w:type="spellStart"/>
      <w:r w:rsidR="0075307A">
        <w:t>a.a</w:t>
      </w:r>
      <w:proofErr w:type="spellEnd"/>
      <w:r w:rsidR="0075307A">
        <w:t>. 2017/2018</w:t>
      </w:r>
      <w:r>
        <w:t>;</w:t>
      </w:r>
    </w:p>
    <w:p w14:paraId="15FE8D6F" w14:textId="77777777" w:rsidR="00FD32A1" w:rsidRDefault="00A551D4" w:rsidP="00A551D4">
      <w:pPr>
        <w:pStyle w:val="Paragrafoelenco"/>
        <w:numPr>
          <w:ilvl w:val="0"/>
          <w:numId w:val="2"/>
        </w:numPr>
        <w:jc w:val="both"/>
      </w:pPr>
      <w:r>
        <w:t xml:space="preserve">che </w:t>
      </w:r>
      <w:r w:rsidR="00971F34">
        <w:t>il DEIM</w:t>
      </w:r>
      <w:r>
        <w:t>, in considerazione dei destinatari del presente accordo e delle finalità enunciate, in una prospettiva di collaborazione con __________ favorisce l’iscrizione al Master Crisis del personale/iscritti di_____________ riconoscendo un’agevolazione nel pagamento delle tasse e contributi;</w:t>
      </w:r>
    </w:p>
    <w:p w14:paraId="61848D3A" w14:textId="77777777" w:rsidR="0062092E" w:rsidRDefault="0062092E" w:rsidP="00DF659C">
      <w:pPr>
        <w:pStyle w:val="Paragrafoelenco"/>
        <w:jc w:val="both"/>
      </w:pPr>
    </w:p>
    <w:p w14:paraId="352AC2DC" w14:textId="77777777" w:rsidR="00881371" w:rsidRPr="00A551D4" w:rsidRDefault="00A551D4" w:rsidP="00A551D4">
      <w:pPr>
        <w:jc w:val="center"/>
        <w:rPr>
          <w:b/>
        </w:rPr>
      </w:pPr>
      <w:r w:rsidRPr="00A551D4">
        <w:rPr>
          <w:b/>
        </w:rPr>
        <w:t>CONVENGONO E STIPULANO QUANTO SEGUE:</w:t>
      </w:r>
    </w:p>
    <w:p w14:paraId="44825521" w14:textId="77777777" w:rsidR="00881371" w:rsidRPr="00881371" w:rsidRDefault="00881371" w:rsidP="00383F83">
      <w:pPr>
        <w:spacing w:after="0"/>
        <w:jc w:val="center"/>
        <w:rPr>
          <w:b/>
        </w:rPr>
      </w:pPr>
      <w:r w:rsidRPr="00881371">
        <w:rPr>
          <w:b/>
        </w:rPr>
        <w:t>Art. 1</w:t>
      </w:r>
    </w:p>
    <w:p w14:paraId="57089958" w14:textId="77777777" w:rsidR="0062092E" w:rsidRDefault="00EF4F34" w:rsidP="00383F83">
      <w:pPr>
        <w:spacing w:after="0"/>
        <w:jc w:val="center"/>
        <w:rPr>
          <w:b/>
        </w:rPr>
      </w:pPr>
      <w:r>
        <w:rPr>
          <w:b/>
        </w:rPr>
        <w:t xml:space="preserve">(Scopo </w:t>
      </w:r>
      <w:r w:rsidR="0062092E">
        <w:rPr>
          <w:b/>
        </w:rPr>
        <w:t>della convenzione</w:t>
      </w:r>
      <w:r w:rsidR="00881371" w:rsidRPr="00881371">
        <w:rPr>
          <w:b/>
        </w:rPr>
        <w:t>)</w:t>
      </w:r>
    </w:p>
    <w:p w14:paraId="7FEFB44F" w14:textId="77777777" w:rsidR="0062092E" w:rsidRDefault="0062092E" w:rsidP="00383F83">
      <w:pPr>
        <w:spacing w:after="0"/>
        <w:jc w:val="center"/>
        <w:rPr>
          <w:b/>
        </w:rPr>
      </w:pPr>
    </w:p>
    <w:p w14:paraId="29E537C2" w14:textId="77777777" w:rsidR="0062092E" w:rsidRDefault="00971F34" w:rsidP="0062092E">
      <w:pPr>
        <w:spacing w:after="0"/>
        <w:jc w:val="both"/>
      </w:pPr>
      <w:r>
        <w:t>Il Dipartimento di Economia, Ingegneria, Società e Impresa dell’Università degli Studi della Tuscia</w:t>
      </w:r>
      <w:r w:rsidR="0062092E">
        <w:t xml:space="preserve"> e ___________________, al fine di ga</w:t>
      </w:r>
      <w:r w:rsidR="00193789">
        <w:t>rantire una maggiore qualità delle rispettive attività connesse ai temi oggetto dell’offerta formativa del Master Crisis</w:t>
      </w:r>
      <w:r w:rsidR="0062092E">
        <w:t>, convengono</w:t>
      </w:r>
      <w:r w:rsidR="00EF4F34">
        <w:t xml:space="preserve"> di avviare un rapporto di collaborazione e sinergia nell’ambito del </w:t>
      </w:r>
      <w:r w:rsidR="00193789">
        <w:t xml:space="preserve">medesimo </w:t>
      </w:r>
      <w:r w:rsidR="00EF4F34">
        <w:t xml:space="preserve">Master per favorire l’innalzamento delle conoscenze e delle competenze </w:t>
      </w:r>
      <w:r w:rsidR="00FA34A6">
        <w:t xml:space="preserve">dei propri iscritti </w:t>
      </w:r>
    </w:p>
    <w:p w14:paraId="5998C718" w14:textId="77777777" w:rsidR="00FA34A6" w:rsidRDefault="00FA34A6" w:rsidP="0062092E">
      <w:pPr>
        <w:spacing w:after="0"/>
        <w:jc w:val="both"/>
      </w:pPr>
    </w:p>
    <w:p w14:paraId="551AD7B5" w14:textId="77777777" w:rsidR="005029F5" w:rsidRPr="00383F83" w:rsidRDefault="005029F5" w:rsidP="005029F5">
      <w:pPr>
        <w:spacing w:after="0"/>
        <w:jc w:val="center"/>
        <w:rPr>
          <w:b/>
        </w:rPr>
      </w:pPr>
      <w:r w:rsidRPr="00383F83">
        <w:rPr>
          <w:b/>
        </w:rPr>
        <w:t xml:space="preserve">Art. </w:t>
      </w:r>
      <w:r>
        <w:rPr>
          <w:b/>
        </w:rPr>
        <w:t>2</w:t>
      </w:r>
    </w:p>
    <w:p w14:paraId="01D21B7E" w14:textId="77777777" w:rsidR="005029F5" w:rsidRDefault="005029F5" w:rsidP="005029F5">
      <w:pPr>
        <w:spacing w:after="0"/>
        <w:jc w:val="center"/>
        <w:rPr>
          <w:b/>
        </w:rPr>
      </w:pPr>
      <w:r w:rsidRPr="00383F83">
        <w:rPr>
          <w:b/>
        </w:rPr>
        <w:t xml:space="preserve">(Attività </w:t>
      </w:r>
      <w:r>
        <w:rPr>
          <w:b/>
        </w:rPr>
        <w:t>del Master</w:t>
      </w:r>
      <w:r w:rsidRPr="00881371">
        <w:rPr>
          <w:b/>
        </w:rPr>
        <w:t>)</w:t>
      </w:r>
    </w:p>
    <w:p w14:paraId="747550FD" w14:textId="77777777" w:rsidR="00881371" w:rsidRPr="00881371" w:rsidRDefault="00881371" w:rsidP="00383F83">
      <w:pPr>
        <w:spacing w:after="0"/>
        <w:jc w:val="center"/>
        <w:rPr>
          <w:b/>
        </w:rPr>
      </w:pPr>
    </w:p>
    <w:p w14:paraId="53B0FE29" w14:textId="77777777" w:rsidR="005029F5" w:rsidRDefault="005029F5" w:rsidP="000C32BC">
      <w:pPr>
        <w:spacing w:after="0"/>
        <w:jc w:val="both"/>
        <w:rPr>
          <w:b/>
        </w:rPr>
      </w:pPr>
      <w:r>
        <w:t>Le attività del Master Crisis includono l’attività didattica frontale e seminariale di cui al regolamento didattico del Master allegato alla presente</w:t>
      </w:r>
      <w:r w:rsidR="00B36ED7">
        <w:t xml:space="preserve"> </w:t>
      </w:r>
      <w:r w:rsidR="00B36ED7" w:rsidRPr="00F05117">
        <w:rPr>
          <w:b/>
        </w:rPr>
        <w:t>(allegato A)</w:t>
      </w:r>
    </w:p>
    <w:p w14:paraId="48134C3A" w14:textId="77777777" w:rsidR="000C32BC" w:rsidRDefault="000C32BC" w:rsidP="00383F83">
      <w:pPr>
        <w:spacing w:after="0"/>
        <w:jc w:val="center"/>
        <w:rPr>
          <w:b/>
        </w:rPr>
      </w:pPr>
    </w:p>
    <w:p w14:paraId="2760250A" w14:textId="77777777" w:rsidR="00881371" w:rsidRPr="00383F83" w:rsidRDefault="00881371" w:rsidP="00383F83">
      <w:pPr>
        <w:spacing w:after="0"/>
        <w:jc w:val="center"/>
        <w:rPr>
          <w:b/>
        </w:rPr>
      </w:pPr>
      <w:r w:rsidRPr="00383F83">
        <w:rPr>
          <w:b/>
        </w:rPr>
        <w:lastRenderedPageBreak/>
        <w:t xml:space="preserve">Art. </w:t>
      </w:r>
      <w:r w:rsidR="005029F5">
        <w:rPr>
          <w:b/>
        </w:rPr>
        <w:t>3</w:t>
      </w:r>
    </w:p>
    <w:p w14:paraId="2E79AD8D" w14:textId="77777777" w:rsidR="00C63373" w:rsidRDefault="00881371" w:rsidP="00383F83">
      <w:pPr>
        <w:spacing w:after="0"/>
        <w:jc w:val="center"/>
        <w:rPr>
          <w:b/>
        </w:rPr>
      </w:pPr>
      <w:r w:rsidRPr="00383F83">
        <w:rPr>
          <w:b/>
        </w:rPr>
        <w:t>(Attività oggetto d</w:t>
      </w:r>
      <w:r w:rsidRPr="00881371">
        <w:rPr>
          <w:b/>
        </w:rPr>
        <w:t>ella convenzione)</w:t>
      </w:r>
    </w:p>
    <w:p w14:paraId="0D03C78D" w14:textId="77777777" w:rsidR="00C32D53" w:rsidRDefault="00C32D53" w:rsidP="00881371">
      <w:pPr>
        <w:jc w:val="both"/>
      </w:pPr>
    </w:p>
    <w:p w14:paraId="650B3114" w14:textId="77777777" w:rsidR="00881371" w:rsidRDefault="00881371" w:rsidP="00881371">
      <w:pPr>
        <w:jc w:val="both"/>
      </w:pPr>
      <w:r>
        <w:t>Le parti convengono di svolgere in comune accordo e in collaborazione le seguenti attività:</w:t>
      </w:r>
    </w:p>
    <w:p w14:paraId="7966C9B1" w14:textId="77777777" w:rsidR="00C32D53" w:rsidRDefault="00C32D53" w:rsidP="00C32D53">
      <w:pPr>
        <w:pStyle w:val="Paragrafoelenco"/>
        <w:numPr>
          <w:ilvl w:val="0"/>
          <w:numId w:val="1"/>
        </w:numPr>
        <w:jc w:val="both"/>
      </w:pPr>
      <w:r>
        <w:t xml:space="preserve">1) </w:t>
      </w:r>
      <w:r w:rsidR="00971F34">
        <w:t>il DEIM</w:t>
      </w:r>
      <w:r>
        <w:t xml:space="preserve"> riconosce agli iscritti/dipendenti/associati di ________ la riduzione della quota di iscrizione </w:t>
      </w:r>
      <w:r w:rsidRPr="00422104">
        <w:t>del 20% (venti%) al</w:t>
      </w:r>
      <w:r>
        <w:t xml:space="preserve"> Master Crisis da versarsi in due rate: la prima di importo pari ad euro 55</w:t>
      </w:r>
      <w:r w:rsidRPr="00F72B6D">
        <w:t xml:space="preserve">0,00 da versare entro </w:t>
      </w:r>
      <w:r>
        <w:t>la data prevista per l’iscrizione al Master</w:t>
      </w:r>
      <w:r w:rsidRPr="00F72B6D">
        <w:t xml:space="preserve"> e la se</w:t>
      </w:r>
      <w:r w:rsidR="00132662">
        <w:t>conda di importo pari ad euro 65</w:t>
      </w:r>
      <w:r w:rsidRPr="00F72B6D">
        <w:t>0,00 da</w:t>
      </w:r>
      <w:r>
        <w:t xml:space="preserve"> versare entro il 1 luglio </w:t>
      </w:r>
      <w:r w:rsidR="00422104">
        <w:t>2019</w:t>
      </w:r>
      <w:r>
        <w:t>.</w:t>
      </w:r>
    </w:p>
    <w:p w14:paraId="77548E0C" w14:textId="77777777" w:rsidR="00C80E1B" w:rsidRDefault="00742031" w:rsidP="00881371">
      <w:pPr>
        <w:pStyle w:val="Paragrafoelenco"/>
        <w:numPr>
          <w:ilvl w:val="0"/>
          <w:numId w:val="1"/>
        </w:numPr>
        <w:jc w:val="both"/>
      </w:pPr>
      <w:r>
        <w:t>2</w:t>
      </w:r>
      <w:r w:rsidR="00C63373">
        <w:t xml:space="preserve">) </w:t>
      </w:r>
      <w:r w:rsidR="002421DD">
        <w:t>_________</w:t>
      </w:r>
      <w:r w:rsidR="00C80E1B">
        <w:t xml:space="preserve"> autorizza </w:t>
      </w:r>
      <w:r w:rsidR="00457341">
        <w:t>il DEIM</w:t>
      </w:r>
      <w:r w:rsidR="00C80E1B">
        <w:t xml:space="preserve"> ad impiegare il proprio nome e simbolo ai fini della comunicazione delle attività del Master inclusa la sezione partner del sito </w:t>
      </w:r>
      <w:r w:rsidR="00422104">
        <w:t>mastercrisis.unitus.it</w:t>
      </w:r>
      <w:r w:rsidR="00C80E1B">
        <w:t>;</w:t>
      </w:r>
      <w:r w:rsidR="00383F83">
        <w:t xml:space="preserve"> </w:t>
      </w:r>
      <w:r w:rsidR="00457341">
        <w:t>il DEIM</w:t>
      </w:r>
      <w:r w:rsidR="00383F83">
        <w:t xml:space="preserve"> di impegna a dare ampia comunicazione delle attività poste in essere con il partner;</w:t>
      </w:r>
    </w:p>
    <w:p w14:paraId="01DA6138" w14:textId="77777777" w:rsidR="00742031" w:rsidRDefault="00742031" w:rsidP="00383F83">
      <w:pPr>
        <w:spacing w:after="0"/>
        <w:jc w:val="center"/>
        <w:rPr>
          <w:b/>
        </w:rPr>
      </w:pPr>
    </w:p>
    <w:p w14:paraId="31D04263" w14:textId="77777777" w:rsidR="00EF4F34" w:rsidRDefault="00383F83" w:rsidP="00383F83">
      <w:pPr>
        <w:spacing w:after="0"/>
        <w:jc w:val="center"/>
        <w:rPr>
          <w:b/>
        </w:rPr>
      </w:pPr>
      <w:r w:rsidRPr="00383F83">
        <w:rPr>
          <w:b/>
        </w:rPr>
        <w:t xml:space="preserve">Art. </w:t>
      </w:r>
      <w:r w:rsidR="005029F5">
        <w:rPr>
          <w:b/>
        </w:rPr>
        <w:t>4</w:t>
      </w:r>
    </w:p>
    <w:p w14:paraId="1D8FADC8" w14:textId="77777777" w:rsidR="00132662" w:rsidRDefault="005029F5" w:rsidP="00383F83">
      <w:pPr>
        <w:spacing w:after="0"/>
        <w:jc w:val="center"/>
        <w:rPr>
          <w:b/>
        </w:rPr>
      </w:pPr>
      <w:r>
        <w:rPr>
          <w:b/>
        </w:rPr>
        <w:t>(</w:t>
      </w:r>
      <w:r w:rsidR="00EF4F34">
        <w:rPr>
          <w:b/>
        </w:rPr>
        <w:t>Destinatari)</w:t>
      </w:r>
    </w:p>
    <w:p w14:paraId="2C0A85A8" w14:textId="77777777" w:rsidR="00EF4F34" w:rsidRDefault="00EF4F34" w:rsidP="00383F83">
      <w:pPr>
        <w:spacing w:after="0"/>
        <w:jc w:val="center"/>
        <w:rPr>
          <w:b/>
        </w:rPr>
      </w:pPr>
    </w:p>
    <w:p w14:paraId="2AB65A1F" w14:textId="77777777" w:rsidR="006740DC" w:rsidRPr="006740DC" w:rsidRDefault="00EF4F34" w:rsidP="00EF4F34">
      <w:pPr>
        <w:spacing w:after="0"/>
        <w:jc w:val="both"/>
      </w:pPr>
      <w:r w:rsidRPr="00AF61ED">
        <w:t xml:space="preserve">La presente convenzione, per le iscrizioni al Master Crisis, si applica a tutto il </w:t>
      </w:r>
      <w:r w:rsidR="00132662" w:rsidRPr="004C2BDF">
        <w:t>personale/iscritti di/della/del</w:t>
      </w:r>
      <w:r w:rsidR="00132662" w:rsidRPr="00AF61ED">
        <w:t xml:space="preserve">______________ </w:t>
      </w:r>
      <w:r w:rsidRPr="00AF61ED">
        <w:t>in servizio all’atto della presentazione della domanda di iscrizione ed in possesso dei requisiti comunque previsti dal Bando</w:t>
      </w:r>
      <w:r w:rsidR="00132662" w:rsidRPr="00AF61ED">
        <w:t xml:space="preserve"> di ammissione </w:t>
      </w:r>
      <w:r w:rsidR="00132662" w:rsidRPr="006740DC">
        <w:t>al Master</w:t>
      </w:r>
      <w:r w:rsidR="006740DC" w:rsidRPr="006740DC">
        <w:t xml:space="preserve"> (</w:t>
      </w:r>
      <w:r w:rsidR="0002034D">
        <w:t xml:space="preserve">reperibile al link: </w:t>
      </w:r>
      <w:r w:rsidR="006740DC" w:rsidRPr="006740DC">
        <w:t>http://mastercrisis.unitus.it/).</w:t>
      </w:r>
    </w:p>
    <w:p w14:paraId="30AC13CE" w14:textId="77777777" w:rsidR="00EF4F34" w:rsidRPr="00EF4F34" w:rsidRDefault="005029F5" w:rsidP="00EF4F34">
      <w:pPr>
        <w:spacing w:after="0"/>
        <w:jc w:val="both"/>
      </w:pPr>
      <w:r w:rsidRPr="00AF61ED">
        <w:t>Il soggetto che intende usufruire della presente convenzione</w:t>
      </w:r>
      <w:r w:rsidR="00132662" w:rsidRPr="00AF61ED">
        <w:t xml:space="preserve"> ai fini dell’iscrizione al Master Crisis</w:t>
      </w:r>
      <w:r w:rsidRPr="00AF61ED">
        <w:t xml:space="preserve">, è tenuto a presentare all’atto dell’iscrizione, una </w:t>
      </w:r>
      <w:r w:rsidR="00AF61ED">
        <w:t xml:space="preserve">attestazione </w:t>
      </w:r>
      <w:r w:rsidRPr="00AF61ED">
        <w:t xml:space="preserve">della propria condizione soggettiva </w:t>
      </w:r>
      <w:r w:rsidRPr="004C2BDF">
        <w:t>(dipendente/iscritto a ______).</w:t>
      </w:r>
    </w:p>
    <w:p w14:paraId="548096AF" w14:textId="77777777" w:rsidR="00043222" w:rsidRDefault="00043222" w:rsidP="00383F83">
      <w:pPr>
        <w:spacing w:after="0"/>
        <w:jc w:val="center"/>
        <w:rPr>
          <w:b/>
        </w:rPr>
      </w:pPr>
    </w:p>
    <w:p w14:paraId="64219109" w14:textId="77777777" w:rsidR="00383F83" w:rsidRPr="00383F83" w:rsidRDefault="00043222" w:rsidP="00383F83">
      <w:pPr>
        <w:spacing w:after="0"/>
        <w:jc w:val="center"/>
        <w:rPr>
          <w:b/>
        </w:rPr>
      </w:pPr>
      <w:r>
        <w:rPr>
          <w:b/>
        </w:rPr>
        <w:t xml:space="preserve">Art. </w:t>
      </w:r>
      <w:r w:rsidR="005029F5">
        <w:rPr>
          <w:b/>
        </w:rPr>
        <w:t>5</w:t>
      </w:r>
    </w:p>
    <w:p w14:paraId="76C601D3" w14:textId="77777777" w:rsidR="00132662" w:rsidRDefault="00383F83" w:rsidP="00383F83">
      <w:pPr>
        <w:spacing w:after="0"/>
        <w:jc w:val="center"/>
        <w:rPr>
          <w:b/>
        </w:rPr>
      </w:pPr>
      <w:r w:rsidRPr="00383F83">
        <w:rPr>
          <w:b/>
        </w:rPr>
        <w:t>(</w:t>
      </w:r>
      <w:r w:rsidR="00F05117">
        <w:rPr>
          <w:b/>
        </w:rPr>
        <w:t>Aspetti finanziari</w:t>
      </w:r>
      <w:r w:rsidRPr="00383F83">
        <w:rPr>
          <w:b/>
        </w:rPr>
        <w:t>)</w:t>
      </w:r>
    </w:p>
    <w:p w14:paraId="2540E9A6" w14:textId="77777777" w:rsidR="00383F83" w:rsidRPr="00383F83" w:rsidRDefault="00383F83" w:rsidP="00383F83">
      <w:pPr>
        <w:spacing w:after="0"/>
        <w:jc w:val="center"/>
        <w:rPr>
          <w:b/>
        </w:rPr>
      </w:pPr>
    </w:p>
    <w:p w14:paraId="465051A8" w14:textId="77777777" w:rsidR="00CC5F2F" w:rsidRDefault="00CC5F2F" w:rsidP="00383F83">
      <w:pPr>
        <w:jc w:val="both"/>
      </w:pPr>
      <w:r>
        <w:t>Gli Uffici del</w:t>
      </w:r>
      <w:r w:rsidR="00457341">
        <w:t xml:space="preserve"> DEIM</w:t>
      </w:r>
      <w:r w:rsidR="00F05117">
        <w:t xml:space="preserve"> assicura</w:t>
      </w:r>
      <w:r>
        <w:t>no</w:t>
      </w:r>
      <w:r w:rsidR="00F05117">
        <w:t xml:space="preserve"> la gestione degli aspetti finanziari</w:t>
      </w:r>
      <w:r>
        <w:t xml:space="preserve"> e fiscali</w:t>
      </w:r>
      <w:r w:rsidR="00F05117">
        <w:t xml:space="preserve"> necessari ai f</w:t>
      </w:r>
      <w:r>
        <w:t xml:space="preserve">ini della presente convenzione. </w:t>
      </w:r>
    </w:p>
    <w:p w14:paraId="12597765" w14:textId="77777777" w:rsidR="00F05117" w:rsidRDefault="00CC5F2F" w:rsidP="00383F83">
      <w:pPr>
        <w:jc w:val="both"/>
      </w:pPr>
      <w:r>
        <w:t xml:space="preserve">Resta </w:t>
      </w:r>
      <w:r w:rsidR="00F05117">
        <w:t>fermo che il contributo del 10% della quota di iscrizione riservato al</w:t>
      </w:r>
      <w:r w:rsidR="00422104">
        <w:t xml:space="preserve">l’Università della Tuscia </w:t>
      </w:r>
      <w:r w:rsidR="00457341">
        <w:t xml:space="preserve"> </w:t>
      </w:r>
      <w:r w:rsidR="00F05117">
        <w:t>sarà</w:t>
      </w:r>
      <w:r w:rsidR="00280E75">
        <w:t xml:space="preserve"> calcolato sulla base dell’intera quota di iscrizione</w:t>
      </w:r>
      <w:r>
        <w:t xml:space="preserve"> (1.500,00 euro)</w:t>
      </w:r>
      <w:r w:rsidR="00280E75">
        <w:t xml:space="preserve"> ed è da considerarsi</w:t>
      </w:r>
      <w:r w:rsidR="00F05117">
        <w:t xml:space="preserve"> compreso nella quota di iscrizione ridotta</w:t>
      </w:r>
      <w:r>
        <w:t xml:space="preserve"> di cui alla presente convenzione</w:t>
      </w:r>
      <w:r w:rsidR="00F05117">
        <w:t>.</w:t>
      </w:r>
    </w:p>
    <w:p w14:paraId="0D461D9C" w14:textId="77777777" w:rsidR="004C2BDF" w:rsidRDefault="004C2BDF" w:rsidP="005C57DF">
      <w:pPr>
        <w:spacing w:after="0"/>
        <w:ind w:left="1701" w:right="1701"/>
        <w:jc w:val="center"/>
        <w:rPr>
          <w:b/>
        </w:rPr>
      </w:pPr>
    </w:p>
    <w:p w14:paraId="55EA9AD3" w14:textId="77777777" w:rsidR="00F05117" w:rsidRPr="00383F83" w:rsidRDefault="00CC5F2F" w:rsidP="005C57DF">
      <w:pPr>
        <w:spacing w:after="0"/>
        <w:ind w:left="1701" w:right="1701"/>
        <w:jc w:val="center"/>
        <w:rPr>
          <w:b/>
        </w:rPr>
      </w:pPr>
      <w:r>
        <w:rPr>
          <w:b/>
        </w:rPr>
        <w:t>Art. 6</w:t>
      </w:r>
    </w:p>
    <w:p w14:paraId="2442707D" w14:textId="77777777" w:rsidR="00090789" w:rsidRDefault="00F05117" w:rsidP="00F05117">
      <w:pPr>
        <w:spacing w:after="0"/>
        <w:jc w:val="center"/>
        <w:rPr>
          <w:b/>
        </w:rPr>
      </w:pPr>
      <w:r w:rsidRPr="00383F83">
        <w:rPr>
          <w:b/>
        </w:rPr>
        <w:t>(Durata della convenzione)</w:t>
      </w:r>
    </w:p>
    <w:p w14:paraId="23E22B1A" w14:textId="77777777" w:rsidR="0075307A" w:rsidRDefault="0075307A" w:rsidP="00383F83">
      <w:pPr>
        <w:jc w:val="both"/>
      </w:pPr>
    </w:p>
    <w:p w14:paraId="369C470F" w14:textId="2053EF67" w:rsidR="0075307A" w:rsidRDefault="00383F83" w:rsidP="00383F83">
      <w:pPr>
        <w:jc w:val="both"/>
      </w:pPr>
      <w:r>
        <w:t xml:space="preserve">La presente convenzione avrà durata </w:t>
      </w:r>
      <w:r w:rsidR="00DB6CEC">
        <w:t>ann</w:t>
      </w:r>
      <w:r w:rsidR="003E7C5C">
        <w:t>uale a partire dall’</w:t>
      </w:r>
      <w:proofErr w:type="spellStart"/>
      <w:r w:rsidR="003E7C5C">
        <w:t>a.a</w:t>
      </w:r>
      <w:proofErr w:type="spellEnd"/>
      <w:r w:rsidR="003E7C5C">
        <w:t xml:space="preserve">. </w:t>
      </w:r>
      <w:r w:rsidR="00422104">
        <w:t>2018/2019</w:t>
      </w:r>
      <w:r>
        <w:t>.</w:t>
      </w:r>
    </w:p>
    <w:p w14:paraId="4F13FD9C" w14:textId="77777777" w:rsidR="00C202BC" w:rsidRDefault="00C202BC" w:rsidP="00383F83">
      <w:pPr>
        <w:jc w:val="both"/>
      </w:pPr>
    </w:p>
    <w:p w14:paraId="245ED049" w14:textId="77777777" w:rsidR="0075307A" w:rsidRDefault="003E7C5C" w:rsidP="00383F83">
      <w:pPr>
        <w:jc w:val="both"/>
      </w:pPr>
      <w:r>
        <w:t>Viterbo, ____________/2018</w:t>
      </w:r>
    </w:p>
    <w:p w14:paraId="64693F15" w14:textId="77777777" w:rsidR="004C2BDF" w:rsidRDefault="004C2BDF" w:rsidP="00383F83">
      <w:pPr>
        <w:jc w:val="both"/>
      </w:pPr>
    </w:p>
    <w:p w14:paraId="34A5FC2B" w14:textId="77777777" w:rsidR="00383F83" w:rsidRPr="004C2BDF" w:rsidRDefault="004C2BDF" w:rsidP="000C32BC">
      <w:pPr>
        <w:ind w:firstLine="708"/>
        <w:jc w:val="both"/>
      </w:pPr>
      <w:r w:rsidRPr="004C2BDF">
        <w:t>IL DIRETTORE</w:t>
      </w:r>
      <w:r w:rsidRPr="004C2BDF">
        <w:tab/>
      </w:r>
      <w:r w:rsidR="005C57DF">
        <w:tab/>
      </w:r>
      <w:r w:rsidR="005C57DF">
        <w:tab/>
      </w:r>
      <w:r w:rsidR="005C57DF">
        <w:tab/>
      </w:r>
      <w:r w:rsidR="006355C2">
        <w:t xml:space="preserve">  </w:t>
      </w:r>
      <w:r w:rsidR="006355C2">
        <w:tab/>
        <w:t xml:space="preserve">   </w:t>
      </w:r>
      <w:r w:rsidR="00383F83">
        <w:tab/>
      </w:r>
      <w:r w:rsidRPr="004C2BDF">
        <w:t>IL LEGALE RAPPRESENTANTE</w:t>
      </w:r>
    </w:p>
    <w:p w14:paraId="5EC7DAE8" w14:textId="77777777" w:rsidR="001C3FC4" w:rsidRDefault="000C32BC" w:rsidP="00383F83">
      <w:pPr>
        <w:jc w:val="both"/>
      </w:pPr>
      <w:r>
        <w:t xml:space="preserve">      </w:t>
      </w:r>
      <w:r w:rsidR="00383F83">
        <w:t xml:space="preserve">Prof. </w:t>
      </w:r>
      <w:r w:rsidR="00457341">
        <w:t>Stefano Ubertini</w:t>
      </w:r>
      <w:r w:rsidR="00383F83">
        <w:t xml:space="preserve">  </w:t>
      </w:r>
      <w:r w:rsidR="00383F83">
        <w:tab/>
      </w:r>
    </w:p>
    <w:p w14:paraId="3425D597" w14:textId="77777777" w:rsidR="00383F83" w:rsidRDefault="001C3FC4" w:rsidP="00383F83">
      <w:pPr>
        <w:jc w:val="both"/>
      </w:pPr>
      <w:r>
        <w:t>_____________________________</w:t>
      </w:r>
      <w:r w:rsidR="005C57DF">
        <w:tab/>
      </w:r>
      <w:r w:rsidR="00457341">
        <w:tab/>
      </w:r>
      <w:r w:rsidR="005C57DF">
        <w:tab/>
      </w:r>
      <w:r w:rsidR="00383F83">
        <w:tab/>
        <w:t>_____________________</w:t>
      </w:r>
      <w:r w:rsidR="004C2BDF">
        <w:t>___</w:t>
      </w:r>
    </w:p>
    <w:p w14:paraId="2A7FDD7F" w14:textId="77777777" w:rsidR="009A55DD" w:rsidRDefault="004C2BDF" w:rsidP="00383F83">
      <w:pPr>
        <w:jc w:val="both"/>
        <w:rPr>
          <w:b/>
        </w:rPr>
      </w:pPr>
      <w:r w:rsidRPr="004C2BDF">
        <w:rPr>
          <w:b/>
        </w:rPr>
        <w:lastRenderedPageBreak/>
        <w:t>ALLEGATO A</w:t>
      </w:r>
    </w:p>
    <w:p w14:paraId="06610A3C" w14:textId="77777777" w:rsidR="004C2BDF" w:rsidRPr="004C2BDF" w:rsidRDefault="004C2BDF" w:rsidP="00383F83">
      <w:pPr>
        <w:jc w:val="both"/>
        <w:rPr>
          <w:b/>
        </w:rPr>
      </w:pPr>
    </w:p>
    <w:p w14:paraId="53D26302" w14:textId="77777777" w:rsidR="009A55DD" w:rsidRDefault="009A55DD" w:rsidP="009A55DD">
      <w:pPr>
        <w:jc w:val="center"/>
        <w:rPr>
          <w:b/>
          <w:sz w:val="28"/>
        </w:rPr>
      </w:pPr>
      <w:r>
        <w:rPr>
          <w:b/>
          <w:sz w:val="28"/>
        </w:rPr>
        <w:t>Regolamento didattico del Master si I livello in “Scienze criminologiche e forensi, investigazioni e sicurezza” (CRISIS)</w:t>
      </w:r>
    </w:p>
    <w:p w14:paraId="492D1AF1" w14:textId="77777777" w:rsidR="009A55DD" w:rsidRDefault="009A55DD" w:rsidP="009A55DD">
      <w:pPr>
        <w:jc w:val="center"/>
        <w:rPr>
          <w:b/>
          <w:sz w:val="28"/>
        </w:rPr>
      </w:pPr>
    </w:p>
    <w:p w14:paraId="626F79DF" w14:textId="77777777" w:rsidR="009A55DD" w:rsidRDefault="009A55DD" w:rsidP="009A55DD">
      <w:pPr>
        <w:spacing w:after="0"/>
        <w:jc w:val="center"/>
        <w:rPr>
          <w:b/>
          <w:sz w:val="24"/>
          <w:szCs w:val="24"/>
        </w:rPr>
      </w:pPr>
      <w:r>
        <w:rPr>
          <w:b/>
          <w:sz w:val="24"/>
          <w:szCs w:val="24"/>
        </w:rPr>
        <w:t>Art. 1</w:t>
      </w:r>
    </w:p>
    <w:p w14:paraId="69A3568C" w14:textId="77777777" w:rsidR="009A55DD" w:rsidRDefault="009A55DD" w:rsidP="009A55DD">
      <w:pPr>
        <w:spacing w:after="0"/>
        <w:jc w:val="center"/>
        <w:rPr>
          <w:b/>
          <w:sz w:val="24"/>
          <w:szCs w:val="24"/>
        </w:rPr>
      </w:pPr>
      <w:r>
        <w:rPr>
          <w:b/>
          <w:sz w:val="24"/>
          <w:szCs w:val="24"/>
        </w:rPr>
        <w:t>Il Comitato ordinatore</w:t>
      </w:r>
    </w:p>
    <w:p w14:paraId="3A3C2056" w14:textId="77777777" w:rsidR="009A55DD" w:rsidRDefault="009A55DD" w:rsidP="009A55DD">
      <w:pPr>
        <w:spacing w:after="0"/>
        <w:jc w:val="center"/>
        <w:rPr>
          <w:b/>
          <w:sz w:val="24"/>
          <w:szCs w:val="24"/>
        </w:rPr>
      </w:pPr>
    </w:p>
    <w:p w14:paraId="2FB1572A" w14:textId="77777777" w:rsidR="009A55DD" w:rsidRDefault="009A55DD" w:rsidP="009A55DD">
      <w:pPr>
        <w:jc w:val="both"/>
        <w:rPr>
          <w:sz w:val="24"/>
          <w:szCs w:val="24"/>
        </w:rPr>
      </w:pPr>
      <w:r>
        <w:rPr>
          <w:sz w:val="24"/>
          <w:szCs w:val="24"/>
        </w:rPr>
        <w:t>Il Comitato ordinatore elegge al proprio interno il Direttore del Master ai sensi del Regolamento di Ateneo.</w:t>
      </w:r>
    </w:p>
    <w:p w14:paraId="4169AA85" w14:textId="77777777" w:rsidR="009A55DD" w:rsidRDefault="009A55DD" w:rsidP="009A55DD">
      <w:pPr>
        <w:jc w:val="both"/>
        <w:rPr>
          <w:sz w:val="24"/>
          <w:szCs w:val="24"/>
        </w:rPr>
      </w:pPr>
      <w:r>
        <w:rPr>
          <w:sz w:val="24"/>
          <w:szCs w:val="24"/>
        </w:rPr>
        <w:t>Il Comitato ordinatore può proporre all’Ateneo l’integrazione con nuovi componenti nel rispetto delle proporzioni previste dal Regolamento di Ateneo.</w:t>
      </w:r>
    </w:p>
    <w:p w14:paraId="0DBF7601" w14:textId="77777777" w:rsidR="009A55DD" w:rsidRDefault="009A55DD" w:rsidP="009A55DD">
      <w:pPr>
        <w:jc w:val="both"/>
        <w:rPr>
          <w:sz w:val="24"/>
          <w:szCs w:val="24"/>
        </w:rPr>
      </w:pPr>
      <w:r>
        <w:rPr>
          <w:sz w:val="24"/>
          <w:szCs w:val="24"/>
        </w:rPr>
        <w:t>Il Comitato ordinatore può designare uno o più coordinatori didattici anche con riferimento ai singoli moduli didattici del Master.</w:t>
      </w:r>
    </w:p>
    <w:p w14:paraId="051EB4FF" w14:textId="77777777" w:rsidR="009A55DD" w:rsidRDefault="009A55DD" w:rsidP="009A55DD">
      <w:pPr>
        <w:jc w:val="both"/>
        <w:rPr>
          <w:sz w:val="24"/>
          <w:szCs w:val="24"/>
        </w:rPr>
      </w:pPr>
      <w:r>
        <w:rPr>
          <w:sz w:val="24"/>
          <w:szCs w:val="24"/>
        </w:rPr>
        <w:t>Le riunioni del Comitato ordinatore si tengono ordinariamente in via telematica su convocazione del Direttore del Master con modalità utili a garantire ampia conoscibilità dell’ODG e dei documenti da esaminare.</w:t>
      </w:r>
    </w:p>
    <w:p w14:paraId="061249B2" w14:textId="77777777" w:rsidR="009A55DD" w:rsidRDefault="009A55DD" w:rsidP="009A55DD">
      <w:pPr>
        <w:jc w:val="both"/>
        <w:rPr>
          <w:sz w:val="24"/>
          <w:szCs w:val="24"/>
        </w:rPr>
      </w:pPr>
      <w:r>
        <w:rPr>
          <w:sz w:val="24"/>
          <w:szCs w:val="24"/>
        </w:rPr>
        <w:t>Il Comitato ordinatore si avvale della collaborazione delle strutture del Dipartimento DEIM, segreteria didattica del Corso di laurea in Scienze politiche e relazioni internazionali e della segreteria studenti SOGE.</w:t>
      </w:r>
    </w:p>
    <w:p w14:paraId="06A1E7D7" w14:textId="77777777" w:rsidR="009A55DD" w:rsidRDefault="009A55DD" w:rsidP="009A55DD">
      <w:pPr>
        <w:jc w:val="both"/>
        <w:rPr>
          <w:sz w:val="24"/>
          <w:szCs w:val="24"/>
        </w:rPr>
      </w:pPr>
    </w:p>
    <w:p w14:paraId="0C47E319" w14:textId="77777777" w:rsidR="009A55DD" w:rsidRDefault="009A55DD" w:rsidP="009A55DD">
      <w:pPr>
        <w:spacing w:after="0"/>
        <w:jc w:val="center"/>
        <w:rPr>
          <w:b/>
          <w:sz w:val="24"/>
          <w:szCs w:val="24"/>
        </w:rPr>
      </w:pPr>
      <w:r>
        <w:rPr>
          <w:b/>
          <w:sz w:val="24"/>
          <w:szCs w:val="24"/>
        </w:rPr>
        <w:t>Art. 2</w:t>
      </w:r>
    </w:p>
    <w:p w14:paraId="3CDFEE34" w14:textId="77777777" w:rsidR="009A55DD" w:rsidRDefault="009A55DD" w:rsidP="009A55DD">
      <w:pPr>
        <w:jc w:val="center"/>
        <w:rPr>
          <w:b/>
          <w:sz w:val="24"/>
          <w:szCs w:val="24"/>
        </w:rPr>
      </w:pPr>
      <w:r>
        <w:rPr>
          <w:b/>
          <w:sz w:val="24"/>
          <w:szCs w:val="24"/>
        </w:rPr>
        <w:t>Finalità, obiettivi formativi e sbocchi professionali</w:t>
      </w:r>
    </w:p>
    <w:p w14:paraId="75C21C9A" w14:textId="77777777" w:rsidR="009A55DD" w:rsidRDefault="009A55DD" w:rsidP="009A55DD">
      <w:pPr>
        <w:jc w:val="center"/>
        <w:rPr>
          <w:b/>
          <w:sz w:val="24"/>
          <w:szCs w:val="24"/>
        </w:rPr>
      </w:pPr>
    </w:p>
    <w:p w14:paraId="32D02660" w14:textId="77777777" w:rsidR="009A55DD" w:rsidRDefault="009A55DD" w:rsidP="009A55DD">
      <w:pPr>
        <w:jc w:val="both"/>
        <w:rPr>
          <w:sz w:val="24"/>
          <w:szCs w:val="24"/>
        </w:rPr>
      </w:pPr>
      <w:r>
        <w:rPr>
          <w:sz w:val="24"/>
          <w:szCs w:val="24"/>
        </w:rPr>
        <w:t>Il Master si prefigge l’obiettivo di trasmettere le conoscenze teoretiche e pratiche attraverso un percorso formativo finalizzato ad offrire ai laureati la possibilità di completare, perfezionare o acquisire competenze didattiche e scientifiche nelle tematiche attinenti ai fenomeni criminali e alle scienze forensi. Il Master ha inoltre lo scopo di fornire attraverso un approccio innovativo e multidisciplinare una approfondita conoscenza metodologica-operativa in grado di far acquisire, nel campo delle investigazioni, abilità professionali per poter comprendere e gestire al meglio le moderne strategie di prevenzione e contrasto alla illegalità, alla corruzione e alla criminalità comune e organizzata. Prepara, in termini teorici-applicativi, alla comprensione delle problematiche di sicurezza all’interno dei processi organizzativi e gestionali delle istituzioni pubbliche e private consentendo di poter analizzare, elaborare e valutare situazioni di conflitto entro scenari di complessità con specifico riferimento alle singole minacce, sotto il profilo della sicurezza interna ed esterna.</w:t>
      </w:r>
    </w:p>
    <w:p w14:paraId="765CF009" w14:textId="77777777" w:rsidR="009A55DD" w:rsidRDefault="009A55DD" w:rsidP="009A55DD">
      <w:pPr>
        <w:jc w:val="both"/>
        <w:rPr>
          <w:sz w:val="24"/>
          <w:szCs w:val="24"/>
        </w:rPr>
      </w:pPr>
      <w:r>
        <w:rPr>
          <w:sz w:val="24"/>
          <w:szCs w:val="24"/>
        </w:rPr>
        <w:t xml:space="preserve">Il Master è rivolto a soggetti interessati a sviluppare una concreta professionalità nel campo della criminologia, delle scienze forensi, delle investigazioni e Security; tra i destinatari dello stesso, </w:t>
      </w:r>
      <w:r>
        <w:rPr>
          <w:sz w:val="24"/>
          <w:szCs w:val="24"/>
        </w:rPr>
        <w:lastRenderedPageBreak/>
        <w:t>oltre ai laureati in possesso del titolo per l’accesso si individuano le seguenti figure professionali: avvocati, psicologi, psichiatri, medici, sociologi, biologi, investigatori privati, operatori sociali, operatori sanitari, direttori ed operatori penitenziari, appartenenti alle forze armate, addetti alla sicurezza urbana e aziendale, appartenenti o aspiranti ai servizi di intelligence.</w:t>
      </w:r>
    </w:p>
    <w:p w14:paraId="66718E31" w14:textId="77777777" w:rsidR="009A55DD" w:rsidRDefault="009A55DD" w:rsidP="009A55DD">
      <w:pPr>
        <w:jc w:val="both"/>
        <w:rPr>
          <w:sz w:val="24"/>
          <w:szCs w:val="24"/>
        </w:rPr>
      </w:pPr>
      <w:r>
        <w:rPr>
          <w:sz w:val="24"/>
          <w:szCs w:val="24"/>
        </w:rPr>
        <w:t xml:space="preserve">Il Master prepara tecnici con conoscenze avanzate in grado di operare nel campo della sicurezza e in molteplici contesti che si occupano di attività investigative e analisi </w:t>
      </w:r>
      <w:proofErr w:type="spellStart"/>
      <w:r>
        <w:rPr>
          <w:sz w:val="24"/>
          <w:szCs w:val="24"/>
        </w:rPr>
        <w:t>psico</w:t>
      </w:r>
      <w:proofErr w:type="spellEnd"/>
      <w:r>
        <w:rPr>
          <w:sz w:val="24"/>
          <w:szCs w:val="24"/>
        </w:rPr>
        <w:t>-socio-criminologiche per la prevenzione, il controllo e il contrasto del crimine, per il supporto alle vittime e per le indagini difensive.</w:t>
      </w:r>
    </w:p>
    <w:p w14:paraId="2D68D0A2" w14:textId="77777777" w:rsidR="009A55DD" w:rsidRDefault="009A55DD" w:rsidP="009A55DD">
      <w:pPr>
        <w:jc w:val="both"/>
        <w:rPr>
          <w:sz w:val="24"/>
          <w:szCs w:val="24"/>
        </w:rPr>
      </w:pPr>
      <w:r>
        <w:rPr>
          <w:sz w:val="24"/>
          <w:szCs w:val="24"/>
        </w:rPr>
        <w:t>In particolare, il Master si propone di formare profili professionali richiesti nel mercato del</w:t>
      </w:r>
      <w:r>
        <w:rPr>
          <w:b/>
          <w:sz w:val="24"/>
          <w:szCs w:val="24"/>
        </w:rPr>
        <w:t xml:space="preserve"> lavoro </w:t>
      </w:r>
      <w:r>
        <w:rPr>
          <w:sz w:val="24"/>
          <w:szCs w:val="24"/>
        </w:rPr>
        <w:t>quali:</w:t>
      </w:r>
    </w:p>
    <w:p w14:paraId="2918A0BC" w14:textId="77777777" w:rsidR="009A55DD" w:rsidRDefault="009A55DD" w:rsidP="009A55DD">
      <w:pPr>
        <w:pStyle w:val="Paragrafoelenco"/>
        <w:numPr>
          <w:ilvl w:val="0"/>
          <w:numId w:val="3"/>
        </w:numPr>
        <w:spacing w:after="200" w:line="276" w:lineRule="auto"/>
        <w:jc w:val="both"/>
        <w:rPr>
          <w:sz w:val="24"/>
          <w:szCs w:val="24"/>
        </w:rPr>
      </w:pPr>
      <w:r>
        <w:rPr>
          <w:sz w:val="24"/>
          <w:szCs w:val="24"/>
        </w:rPr>
        <w:t>Investigatore privato (previo assolvimento dei requisiti di cui al D.M. 269/210)</w:t>
      </w:r>
    </w:p>
    <w:p w14:paraId="30DB0385" w14:textId="77777777" w:rsidR="009A55DD" w:rsidRDefault="009A55DD" w:rsidP="009A55DD">
      <w:pPr>
        <w:pStyle w:val="Paragrafoelenco"/>
        <w:numPr>
          <w:ilvl w:val="0"/>
          <w:numId w:val="3"/>
        </w:numPr>
        <w:spacing w:after="200" w:line="276" w:lineRule="auto"/>
        <w:jc w:val="both"/>
        <w:rPr>
          <w:sz w:val="24"/>
          <w:szCs w:val="24"/>
        </w:rPr>
      </w:pPr>
      <w:r>
        <w:rPr>
          <w:sz w:val="24"/>
          <w:szCs w:val="24"/>
        </w:rPr>
        <w:t>Consulente criminologico e forense per istituti di investigazione, istituti di vigilanza e studi legali</w:t>
      </w:r>
    </w:p>
    <w:p w14:paraId="5D22DA22" w14:textId="77777777" w:rsidR="009A55DD" w:rsidRDefault="009A55DD" w:rsidP="009A55DD">
      <w:pPr>
        <w:pStyle w:val="Paragrafoelenco"/>
        <w:numPr>
          <w:ilvl w:val="0"/>
          <w:numId w:val="3"/>
        </w:numPr>
        <w:spacing w:after="200" w:line="276" w:lineRule="auto"/>
        <w:jc w:val="both"/>
        <w:rPr>
          <w:sz w:val="24"/>
          <w:szCs w:val="24"/>
        </w:rPr>
      </w:pPr>
      <w:r>
        <w:rPr>
          <w:sz w:val="24"/>
          <w:szCs w:val="24"/>
        </w:rPr>
        <w:t>Consulente presso il Tribunale ordinario Penale e Civile</w:t>
      </w:r>
    </w:p>
    <w:p w14:paraId="1D173BDF" w14:textId="77777777" w:rsidR="009A55DD" w:rsidRDefault="009A55DD" w:rsidP="009A55DD">
      <w:pPr>
        <w:pStyle w:val="Paragrafoelenco"/>
        <w:numPr>
          <w:ilvl w:val="0"/>
          <w:numId w:val="3"/>
        </w:numPr>
        <w:spacing w:after="200" w:line="276" w:lineRule="auto"/>
        <w:jc w:val="both"/>
        <w:rPr>
          <w:sz w:val="24"/>
          <w:szCs w:val="24"/>
        </w:rPr>
      </w:pPr>
      <w:r>
        <w:rPr>
          <w:sz w:val="24"/>
          <w:szCs w:val="24"/>
        </w:rPr>
        <w:t>Esperto in attività di contrasto alla criminalità organizzata</w:t>
      </w:r>
    </w:p>
    <w:p w14:paraId="1F60949C" w14:textId="77777777" w:rsidR="009A55DD" w:rsidRDefault="009A55DD" w:rsidP="009A55DD">
      <w:pPr>
        <w:pStyle w:val="Paragrafoelenco"/>
        <w:numPr>
          <w:ilvl w:val="0"/>
          <w:numId w:val="3"/>
        </w:numPr>
        <w:spacing w:after="200" w:line="276" w:lineRule="auto"/>
        <w:jc w:val="both"/>
        <w:rPr>
          <w:sz w:val="24"/>
          <w:szCs w:val="24"/>
        </w:rPr>
      </w:pPr>
      <w:r>
        <w:rPr>
          <w:sz w:val="24"/>
          <w:szCs w:val="24"/>
        </w:rPr>
        <w:t>Esperto in tecniche di investigazioni scientifiche</w:t>
      </w:r>
    </w:p>
    <w:p w14:paraId="5731D9CC" w14:textId="77777777" w:rsidR="009A55DD" w:rsidRDefault="009A55DD" w:rsidP="009A55DD">
      <w:pPr>
        <w:pStyle w:val="Paragrafoelenco"/>
        <w:numPr>
          <w:ilvl w:val="0"/>
          <w:numId w:val="3"/>
        </w:numPr>
        <w:spacing w:after="200" w:line="276" w:lineRule="auto"/>
        <w:jc w:val="both"/>
        <w:rPr>
          <w:sz w:val="24"/>
          <w:szCs w:val="24"/>
        </w:rPr>
      </w:pPr>
      <w:r>
        <w:rPr>
          <w:sz w:val="24"/>
          <w:szCs w:val="24"/>
        </w:rPr>
        <w:t>Responsabile per le investigazioni e la sicurezza aziendale interna ed esterna</w:t>
      </w:r>
    </w:p>
    <w:p w14:paraId="2E7D38A2" w14:textId="77777777" w:rsidR="009A55DD" w:rsidRDefault="009A55DD" w:rsidP="009A55DD">
      <w:pPr>
        <w:pStyle w:val="Paragrafoelenco"/>
        <w:numPr>
          <w:ilvl w:val="0"/>
          <w:numId w:val="3"/>
        </w:numPr>
        <w:spacing w:after="200" w:line="276" w:lineRule="auto"/>
        <w:jc w:val="both"/>
        <w:rPr>
          <w:sz w:val="24"/>
          <w:szCs w:val="24"/>
        </w:rPr>
      </w:pPr>
      <w:r>
        <w:rPr>
          <w:sz w:val="24"/>
          <w:szCs w:val="24"/>
        </w:rPr>
        <w:t>Esperto nella gestione della sicurezza urbana, portuale ed aeroportuale</w:t>
      </w:r>
    </w:p>
    <w:p w14:paraId="14F26A4F" w14:textId="77777777" w:rsidR="009A55DD" w:rsidRDefault="009A55DD" w:rsidP="009A55DD">
      <w:pPr>
        <w:pStyle w:val="Paragrafoelenco"/>
        <w:numPr>
          <w:ilvl w:val="0"/>
          <w:numId w:val="3"/>
        </w:numPr>
        <w:spacing w:after="200" w:line="276" w:lineRule="auto"/>
        <w:jc w:val="both"/>
        <w:rPr>
          <w:sz w:val="24"/>
          <w:szCs w:val="24"/>
        </w:rPr>
      </w:pPr>
      <w:r>
        <w:rPr>
          <w:sz w:val="24"/>
          <w:szCs w:val="24"/>
        </w:rPr>
        <w:t>Collaboratore presso agenzie di sicurezza sussidiaria</w:t>
      </w:r>
    </w:p>
    <w:p w14:paraId="32E508CE" w14:textId="77777777" w:rsidR="009A55DD" w:rsidRDefault="009A55DD" w:rsidP="009A55DD">
      <w:pPr>
        <w:jc w:val="both"/>
        <w:rPr>
          <w:sz w:val="24"/>
          <w:szCs w:val="24"/>
        </w:rPr>
      </w:pPr>
      <w:r>
        <w:rPr>
          <w:sz w:val="24"/>
          <w:szCs w:val="24"/>
        </w:rPr>
        <w:t>Il percorso formativo del Master è rivolto altresì agli operatori delle Forze di Polizia che intendono approfondire le conoscenze metodologiche-operative volte alla organizzazione e gestione delle moderne strategie investigative e di sicurezza.</w:t>
      </w:r>
    </w:p>
    <w:p w14:paraId="178F91D8" w14:textId="77777777" w:rsidR="009A55DD" w:rsidRDefault="009A55DD" w:rsidP="009A55DD">
      <w:pPr>
        <w:jc w:val="both"/>
        <w:rPr>
          <w:sz w:val="24"/>
          <w:szCs w:val="24"/>
        </w:rPr>
      </w:pPr>
    </w:p>
    <w:p w14:paraId="79DAB81F" w14:textId="77777777" w:rsidR="009A55DD" w:rsidRDefault="009A55DD" w:rsidP="009A55DD">
      <w:pPr>
        <w:spacing w:after="0"/>
        <w:jc w:val="center"/>
        <w:rPr>
          <w:b/>
          <w:sz w:val="24"/>
          <w:szCs w:val="24"/>
        </w:rPr>
      </w:pPr>
      <w:r>
        <w:rPr>
          <w:b/>
          <w:sz w:val="24"/>
          <w:szCs w:val="24"/>
        </w:rPr>
        <w:t>Art. 3</w:t>
      </w:r>
    </w:p>
    <w:p w14:paraId="56D6875A" w14:textId="77777777" w:rsidR="009A55DD" w:rsidRDefault="009A55DD" w:rsidP="009A55DD">
      <w:pPr>
        <w:spacing w:after="0"/>
        <w:jc w:val="center"/>
        <w:rPr>
          <w:b/>
          <w:sz w:val="24"/>
          <w:szCs w:val="24"/>
        </w:rPr>
      </w:pPr>
      <w:r>
        <w:rPr>
          <w:b/>
          <w:sz w:val="24"/>
          <w:szCs w:val="24"/>
        </w:rPr>
        <w:t xml:space="preserve">Docenti, organizzazione didattica del corso </w:t>
      </w:r>
    </w:p>
    <w:p w14:paraId="7F137EE7" w14:textId="77777777" w:rsidR="009A55DD" w:rsidRDefault="009A55DD" w:rsidP="009A55DD">
      <w:pPr>
        <w:spacing w:after="0"/>
        <w:jc w:val="center"/>
        <w:rPr>
          <w:b/>
          <w:sz w:val="24"/>
          <w:szCs w:val="24"/>
        </w:rPr>
      </w:pPr>
    </w:p>
    <w:p w14:paraId="29F863BF" w14:textId="77777777" w:rsidR="009A55DD" w:rsidRDefault="009A55DD" w:rsidP="009A55DD">
      <w:pPr>
        <w:jc w:val="both"/>
      </w:pPr>
      <w:r>
        <w:rPr>
          <w:sz w:val="24"/>
          <w:szCs w:val="24"/>
        </w:rPr>
        <w:t xml:space="preserve">Il corpo docente impegnato nell’insegnamento è formato da professori e ricercatori universitari e da professionisti esterni selezionati tra gli iscritti all’Albo per il conferimento di incarichi di docenza per il Master di I livello in “Scienze criminologiche e forensi, investigazioni e sicurezza” del Dipartimento di Economia, Ingegneria, Società e Impresa (DEIM) istituito presso l’Università della Tuscia </w:t>
      </w:r>
      <w:r w:rsidR="001C3FC4">
        <w:rPr>
          <w:sz w:val="24"/>
          <w:szCs w:val="24"/>
        </w:rPr>
        <w:t>e</w:t>
      </w:r>
      <w:r>
        <w:rPr>
          <w:sz w:val="24"/>
          <w:szCs w:val="24"/>
        </w:rPr>
        <w:t xml:space="preserve"> consultabile al link </w:t>
      </w:r>
      <w:hyperlink r:id="rId8" w:history="1">
        <w:r>
          <w:rPr>
            <w:rStyle w:val="Collegamentoipertestuale"/>
            <w:sz w:val="24"/>
          </w:rPr>
          <w:t>http://www.mastercrisis.unitus.it/</w:t>
        </w:r>
      </w:hyperlink>
      <w:r>
        <w:rPr>
          <w:sz w:val="24"/>
        </w:rPr>
        <w:t xml:space="preserve"> </w:t>
      </w:r>
      <w:r w:rsidR="001C3FC4">
        <w:rPr>
          <w:sz w:val="24"/>
        </w:rPr>
        <w:t xml:space="preserve">. </w:t>
      </w:r>
      <w:r>
        <w:rPr>
          <w:rFonts w:ascii="Calibri" w:eastAsia="Calibri" w:hAnsi="Calibri" w:cs="Times New Roman"/>
          <w:sz w:val="24"/>
        </w:rPr>
        <w:t>Il Comitato ordinatore del Master individuerà, tra gli iscritti all’Albo sopra indicato, e in casi straordinari adeguatamente motivati tra i soggetti non iscritti all’Albo, i docenti incaricati dello svolgimento delle ore di didattica frontale e di tutti gli altri obblighi didattici inerenti le attività formative del Master.</w:t>
      </w:r>
    </w:p>
    <w:p w14:paraId="39176BBB" w14:textId="77777777" w:rsidR="009A55DD" w:rsidRDefault="009A55DD" w:rsidP="009A55DD">
      <w:pPr>
        <w:spacing w:after="0"/>
        <w:jc w:val="both"/>
        <w:rPr>
          <w:sz w:val="24"/>
          <w:szCs w:val="24"/>
        </w:rPr>
      </w:pPr>
      <w:r>
        <w:rPr>
          <w:sz w:val="24"/>
          <w:szCs w:val="24"/>
        </w:rPr>
        <w:t xml:space="preserve">L’attività didattica prevede lezioni frontali in aula, laboratori operativi e la possibilità di svolgere stage curriculari presso soggetti istituzionali e privati. </w:t>
      </w:r>
    </w:p>
    <w:p w14:paraId="528CBA80" w14:textId="77777777" w:rsidR="009A55DD" w:rsidRDefault="009A55DD" w:rsidP="009A55DD">
      <w:pPr>
        <w:spacing w:after="0"/>
        <w:jc w:val="both"/>
        <w:rPr>
          <w:sz w:val="24"/>
          <w:szCs w:val="24"/>
        </w:rPr>
      </w:pPr>
    </w:p>
    <w:p w14:paraId="7BDBAAF8" w14:textId="77777777" w:rsidR="009A55DD" w:rsidRDefault="009A55DD" w:rsidP="009A55DD">
      <w:pPr>
        <w:spacing w:after="0"/>
        <w:jc w:val="both"/>
        <w:rPr>
          <w:sz w:val="24"/>
          <w:szCs w:val="24"/>
        </w:rPr>
      </w:pPr>
      <w:r>
        <w:rPr>
          <w:sz w:val="24"/>
          <w:szCs w:val="24"/>
        </w:rPr>
        <w:t>Il Master è articolato in macro aree strutturate su quattro moduli, come da schema a seguito riportato:</w:t>
      </w:r>
    </w:p>
    <w:p w14:paraId="353AF091" w14:textId="77777777" w:rsidR="009A55DD" w:rsidRDefault="009A55DD" w:rsidP="009A55DD">
      <w:pPr>
        <w:spacing w:after="0"/>
        <w:jc w:val="both"/>
        <w:rPr>
          <w:sz w:val="24"/>
          <w:szCs w:val="24"/>
        </w:rPr>
      </w:pPr>
    </w:p>
    <w:tbl>
      <w:tblPr>
        <w:tblStyle w:val="TableNormal"/>
        <w:tblpPr w:leftFromText="141" w:rightFromText="141" w:vertAnchor="text" w:horzAnchor="margin" w:tblpX="80" w:tblpY="226"/>
        <w:tblW w:w="9432"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32"/>
      </w:tblGrid>
      <w:tr w:rsidR="009A55DD" w14:paraId="13D1C0DB" w14:textId="77777777" w:rsidTr="009A55DD">
        <w:trPr>
          <w:trHeight w:val="884"/>
        </w:trPr>
        <w:tc>
          <w:tcPr>
            <w:tcW w:w="9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2BC9E9" w14:textId="77777777" w:rsidR="009A55DD" w:rsidRDefault="009A55DD">
            <w:pPr>
              <w:jc w:val="center"/>
              <w:rPr>
                <w:rFonts w:ascii="Calibri" w:eastAsia="Calibri" w:hAnsi="Calibri" w:cs="Calibri"/>
                <w:b/>
                <w:bCs/>
                <w:color w:val="000000"/>
                <w:sz w:val="28"/>
                <w:szCs w:val="28"/>
                <w:bdr w:val="none" w:sz="0" w:space="0" w:color="auto" w:frame="1"/>
                <w:lang w:eastAsia="it-IT"/>
              </w:rPr>
            </w:pPr>
            <w:r>
              <w:rPr>
                <w:rFonts w:ascii="Calibri" w:eastAsia="Calibri" w:hAnsi="Calibri"/>
                <w:b/>
                <w:bCs/>
                <w:sz w:val="28"/>
                <w:szCs w:val="28"/>
                <w:bdr w:val="none" w:sz="0" w:space="0" w:color="auto" w:frame="1"/>
                <w:lang w:eastAsia="it-IT"/>
              </w:rPr>
              <w:lastRenderedPageBreak/>
              <w:t xml:space="preserve">PRIMO MODULO: DI CRIMINOLOGIA E CRIMINALISTICA </w:t>
            </w:r>
          </w:p>
          <w:p w14:paraId="77EDC44F" w14:textId="77777777" w:rsidR="009A55DD" w:rsidRDefault="009A55DD">
            <w:pPr>
              <w:jc w:val="center"/>
              <w:rPr>
                <w:b/>
                <w:bCs/>
                <w:sz w:val="28"/>
                <w:szCs w:val="28"/>
                <w:bdr w:val="none" w:sz="0" w:space="0" w:color="auto" w:frame="1"/>
                <w:lang w:eastAsia="it-IT"/>
              </w:rPr>
            </w:pPr>
            <w:r>
              <w:rPr>
                <w:rFonts w:ascii="Calibri" w:eastAsia="Calibri" w:hAnsi="Calibri"/>
                <w:b/>
                <w:bCs/>
                <w:sz w:val="28"/>
                <w:szCs w:val="28"/>
                <w:bdr w:val="none" w:sz="0" w:space="0" w:color="auto" w:frame="1"/>
                <w:lang w:eastAsia="it-IT"/>
              </w:rPr>
              <w:t>SSD: IUS/17, MED/25 e 43, M-PSI/02 e 05</w:t>
            </w:r>
          </w:p>
          <w:p w14:paraId="779114A4" w14:textId="77777777" w:rsidR="009A55DD" w:rsidRDefault="009A55DD">
            <w:pPr>
              <w:jc w:val="center"/>
              <w:rPr>
                <w:rFonts w:ascii="Calibri" w:eastAsia="Calibri" w:hAnsi="Calibri" w:cs="Calibri"/>
                <w:color w:val="000000"/>
                <w:bdr w:val="none" w:sz="0" w:space="0" w:color="auto" w:frame="1"/>
                <w:lang w:eastAsia="it-IT"/>
              </w:rPr>
            </w:pPr>
            <w:r>
              <w:rPr>
                <w:rFonts w:ascii="Calibri" w:eastAsia="Calibri" w:hAnsi="Calibri"/>
                <w:b/>
                <w:bCs/>
                <w:sz w:val="28"/>
                <w:szCs w:val="28"/>
                <w:bdr w:val="none" w:sz="0" w:space="0" w:color="auto" w:frame="1"/>
                <w:lang w:eastAsia="it-IT"/>
              </w:rPr>
              <w:t>CFU: 10</w:t>
            </w:r>
          </w:p>
        </w:tc>
      </w:tr>
      <w:tr w:rsidR="009A55DD" w14:paraId="67F5EE3B" w14:textId="77777777" w:rsidTr="009A55DD">
        <w:trPr>
          <w:trHeight w:val="670"/>
        </w:trPr>
        <w:tc>
          <w:tcPr>
            <w:tcW w:w="9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E04CF9"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 xml:space="preserve">Criminologia– Origini della criminologia e ambito di applicazione. Differenza tra criminologia e criminalistica. Il </w:t>
            </w:r>
            <w:proofErr w:type="spellStart"/>
            <w:r>
              <w:rPr>
                <w:rFonts w:ascii="Calibri" w:eastAsia="Calibri" w:hAnsi="Calibri"/>
                <w:sz w:val="24"/>
                <w:szCs w:val="24"/>
                <w:bdr w:val="none" w:sz="0" w:space="0" w:color="auto" w:frame="1"/>
                <w:lang w:eastAsia="it-IT"/>
              </w:rPr>
              <w:t>criminal</w:t>
            </w:r>
            <w:proofErr w:type="spellEnd"/>
            <w:r>
              <w:rPr>
                <w:rFonts w:ascii="Calibri" w:eastAsia="Calibri" w:hAnsi="Calibri"/>
                <w:sz w:val="24"/>
                <w:szCs w:val="24"/>
                <w:bdr w:val="none" w:sz="0" w:space="0" w:color="auto" w:frame="1"/>
                <w:lang w:eastAsia="it-IT"/>
              </w:rPr>
              <w:t xml:space="preserve"> </w:t>
            </w:r>
            <w:proofErr w:type="spellStart"/>
            <w:r>
              <w:rPr>
                <w:rFonts w:ascii="Calibri" w:eastAsia="Calibri" w:hAnsi="Calibri"/>
                <w:sz w:val="24"/>
                <w:szCs w:val="24"/>
                <w:bdr w:val="none" w:sz="0" w:space="0" w:color="auto" w:frame="1"/>
                <w:lang w:eastAsia="it-IT"/>
              </w:rPr>
              <w:t>profiling</w:t>
            </w:r>
            <w:proofErr w:type="spellEnd"/>
            <w:r>
              <w:rPr>
                <w:rFonts w:ascii="Calibri" w:eastAsia="Calibri" w:hAnsi="Calibri"/>
                <w:sz w:val="24"/>
                <w:szCs w:val="24"/>
                <w:bdr w:val="none" w:sz="0" w:space="0" w:color="auto" w:frame="1"/>
                <w:lang w:eastAsia="it-IT"/>
              </w:rPr>
              <w:t xml:space="preserve"> e il serial killer. Sette e culti distruttivi: la psicologia dei leader carismatici.</w:t>
            </w:r>
          </w:p>
        </w:tc>
      </w:tr>
      <w:tr w:rsidR="009A55DD" w14:paraId="7081D244" w14:textId="77777777" w:rsidTr="009A55DD">
        <w:trPr>
          <w:trHeight w:val="446"/>
        </w:trPr>
        <w:tc>
          <w:tcPr>
            <w:tcW w:w="9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C13E59"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Psicologia forense e investigativa, imputabilità e pericolosità sociale. Il colloquio psichiatrico forense.</w:t>
            </w:r>
          </w:p>
        </w:tc>
      </w:tr>
      <w:tr w:rsidR="009A55DD" w14:paraId="3F242E7F" w14:textId="77777777" w:rsidTr="009A55DD">
        <w:trPr>
          <w:trHeight w:val="370"/>
        </w:trPr>
        <w:tc>
          <w:tcPr>
            <w:tcW w:w="9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6C7729"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Balistica forense, residui dello sparo e dinamica della scena del crimine.</w:t>
            </w:r>
          </w:p>
        </w:tc>
      </w:tr>
      <w:tr w:rsidR="009A55DD" w14:paraId="49E7A1E2" w14:textId="77777777" w:rsidTr="009A55DD">
        <w:trPr>
          <w:trHeight w:val="606"/>
        </w:trPr>
        <w:tc>
          <w:tcPr>
            <w:tcW w:w="9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18865E"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Elementi di medicina legale – il ruolo del medico legale nell’attività di sopralluogo. Cenni di tanatologia. La lesività medico-legale.</w:t>
            </w:r>
          </w:p>
        </w:tc>
      </w:tr>
      <w:tr w:rsidR="009A55DD" w14:paraId="1363E3D6" w14:textId="77777777" w:rsidTr="009A55DD">
        <w:trPr>
          <w:trHeight w:val="545"/>
        </w:trPr>
        <w:tc>
          <w:tcPr>
            <w:tcW w:w="9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3A3DDB"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Le varie fasi d’indagine di genetica forense. Accreditamento dei laboratori; alimentazione banca dati da reperto biologico.</w:t>
            </w:r>
          </w:p>
        </w:tc>
      </w:tr>
      <w:tr w:rsidR="009A55DD" w14:paraId="75C8D46F" w14:textId="77777777" w:rsidTr="009A55DD">
        <w:trPr>
          <w:trHeight w:val="385"/>
        </w:trPr>
        <w:tc>
          <w:tcPr>
            <w:tcW w:w="9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284415"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Genetica forense, scena del crimine e banche dati nazionali del DNA.</w:t>
            </w:r>
          </w:p>
        </w:tc>
      </w:tr>
      <w:tr w:rsidR="009A55DD" w14:paraId="4479EDEE" w14:textId="77777777" w:rsidTr="009A55DD">
        <w:trPr>
          <w:trHeight w:val="265"/>
        </w:trPr>
        <w:tc>
          <w:tcPr>
            <w:tcW w:w="9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8A9B70"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Grafologia forense – Metodo di indagine; campi di applicazione.</w:t>
            </w:r>
          </w:p>
        </w:tc>
      </w:tr>
      <w:tr w:rsidR="009A55DD" w14:paraId="4A69001E" w14:textId="77777777" w:rsidTr="009A55DD">
        <w:trPr>
          <w:trHeight w:val="230"/>
        </w:trPr>
        <w:tc>
          <w:tcPr>
            <w:tcW w:w="9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A99FED"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Tossicologia forense.</w:t>
            </w:r>
          </w:p>
        </w:tc>
      </w:tr>
    </w:tbl>
    <w:p w14:paraId="39366181" w14:textId="77777777" w:rsidR="009A55DD" w:rsidRDefault="009A55DD" w:rsidP="009A55DD">
      <w:pPr>
        <w:spacing w:after="0" w:line="276" w:lineRule="auto"/>
        <w:jc w:val="both"/>
        <w:rPr>
          <w:rFonts w:ascii="Calibri" w:eastAsia="Calibri" w:hAnsi="Calibri" w:cs="Times New Roman"/>
          <w:sz w:val="24"/>
          <w:szCs w:val="24"/>
        </w:rPr>
      </w:pPr>
    </w:p>
    <w:tbl>
      <w:tblPr>
        <w:tblStyle w:val="TableNormal"/>
        <w:tblW w:w="939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96"/>
      </w:tblGrid>
      <w:tr w:rsidR="009A55DD" w14:paraId="690EF9E9" w14:textId="77777777" w:rsidTr="009A55DD">
        <w:trPr>
          <w:trHeight w:val="993"/>
        </w:trPr>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476D33" w14:textId="77777777" w:rsidR="009A55DD" w:rsidRDefault="009A55DD">
            <w:pPr>
              <w:jc w:val="center"/>
              <w:rPr>
                <w:rFonts w:ascii="Calibri" w:eastAsia="Calibri" w:hAnsi="Calibri" w:cs="Calibri"/>
                <w:b/>
                <w:bCs/>
                <w:color w:val="000000"/>
                <w:sz w:val="28"/>
                <w:szCs w:val="28"/>
                <w:bdr w:val="none" w:sz="0" w:space="0" w:color="auto" w:frame="1"/>
                <w:lang w:eastAsia="it-IT"/>
              </w:rPr>
            </w:pPr>
            <w:r>
              <w:rPr>
                <w:rFonts w:ascii="Calibri" w:eastAsia="Calibri" w:hAnsi="Calibri"/>
                <w:b/>
                <w:bCs/>
                <w:sz w:val="28"/>
                <w:szCs w:val="28"/>
                <w:bdr w:val="none" w:sz="0" w:space="0" w:color="auto" w:frame="1"/>
                <w:lang w:eastAsia="it-IT"/>
              </w:rPr>
              <w:t>SECONDO MODULO: I CONTESTI INVESTIGATIVI</w:t>
            </w:r>
          </w:p>
          <w:p w14:paraId="2D35277A" w14:textId="77777777" w:rsidR="009A55DD" w:rsidRDefault="009A55DD">
            <w:pPr>
              <w:jc w:val="center"/>
              <w:rPr>
                <w:b/>
                <w:bCs/>
                <w:sz w:val="28"/>
                <w:szCs w:val="28"/>
                <w:bdr w:val="none" w:sz="0" w:space="0" w:color="auto" w:frame="1"/>
                <w:lang w:eastAsia="it-IT"/>
              </w:rPr>
            </w:pPr>
            <w:r>
              <w:rPr>
                <w:rFonts w:ascii="Calibri" w:eastAsia="Calibri" w:hAnsi="Calibri"/>
                <w:b/>
                <w:bCs/>
                <w:sz w:val="28"/>
                <w:szCs w:val="28"/>
                <w:bdr w:val="none" w:sz="0" w:space="0" w:color="auto" w:frame="1"/>
                <w:lang w:eastAsia="it-IT"/>
              </w:rPr>
              <w:t>SSD: IUS/09, IUS/10</w:t>
            </w:r>
          </w:p>
          <w:p w14:paraId="6B38472A" w14:textId="77777777" w:rsidR="009A55DD" w:rsidRDefault="009A55DD">
            <w:pPr>
              <w:jc w:val="center"/>
              <w:rPr>
                <w:rFonts w:ascii="Calibri" w:eastAsia="Calibri" w:hAnsi="Calibri" w:cs="Calibri"/>
                <w:color w:val="000000"/>
                <w:bdr w:val="none" w:sz="0" w:space="0" w:color="auto" w:frame="1"/>
                <w:lang w:eastAsia="it-IT"/>
              </w:rPr>
            </w:pPr>
            <w:r>
              <w:rPr>
                <w:rFonts w:ascii="Calibri" w:eastAsia="Calibri" w:hAnsi="Calibri"/>
                <w:b/>
                <w:bCs/>
                <w:sz w:val="28"/>
                <w:szCs w:val="28"/>
                <w:bdr w:val="none" w:sz="0" w:space="0" w:color="auto" w:frame="1"/>
                <w:lang w:eastAsia="it-IT"/>
              </w:rPr>
              <w:t>CFU: 8</w:t>
            </w:r>
          </w:p>
        </w:tc>
      </w:tr>
      <w:tr w:rsidR="009A55DD" w14:paraId="678674EB" w14:textId="77777777" w:rsidTr="009A55DD">
        <w:trPr>
          <w:trHeight w:val="542"/>
        </w:trPr>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964FF5" w14:textId="77777777" w:rsidR="009A55DD" w:rsidRDefault="009A55DD">
            <w:pPr>
              <w:jc w:val="both"/>
              <w:rPr>
                <w:rFonts w:ascii="Calibri" w:eastAsia="Calibri" w:hAnsi="Calibri"/>
                <w:sz w:val="24"/>
                <w:szCs w:val="24"/>
                <w:bdr w:val="none" w:sz="0" w:space="0" w:color="auto" w:frame="1"/>
                <w:lang w:eastAsia="it-IT"/>
              </w:rPr>
            </w:pPr>
            <w:r>
              <w:rPr>
                <w:rFonts w:ascii="Calibri" w:eastAsia="Calibri" w:hAnsi="Calibri"/>
                <w:sz w:val="24"/>
                <w:szCs w:val="24"/>
                <w:bdr w:val="none" w:sz="0" w:space="0" w:color="auto" w:frame="1"/>
                <w:lang w:eastAsia="it-IT"/>
              </w:rPr>
              <w:t>La disciplina antimafia. I controlli sugli enti locali in materia di antimafia. Prefettura e scioglimento dei comuni.</w:t>
            </w:r>
          </w:p>
        </w:tc>
      </w:tr>
      <w:tr w:rsidR="009A55DD" w14:paraId="3AACF798" w14:textId="77777777" w:rsidTr="009A55DD">
        <w:trPr>
          <w:trHeight w:val="523"/>
        </w:trPr>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405295" w14:textId="77777777" w:rsidR="009A55DD" w:rsidRDefault="009A55DD">
            <w:pPr>
              <w:jc w:val="both"/>
              <w:rPr>
                <w:rFonts w:ascii="Calibri" w:eastAsia="Calibri" w:hAnsi="Calibri"/>
                <w:sz w:val="24"/>
                <w:szCs w:val="24"/>
                <w:bdr w:val="none" w:sz="0" w:space="0" w:color="auto" w:frame="1"/>
                <w:lang w:eastAsia="it-IT"/>
              </w:rPr>
            </w:pPr>
            <w:r>
              <w:rPr>
                <w:rFonts w:ascii="Calibri" w:eastAsia="Calibri" w:hAnsi="Calibri"/>
                <w:sz w:val="24"/>
                <w:szCs w:val="24"/>
                <w:bdr w:val="none" w:sz="0" w:space="0" w:color="auto" w:frame="1"/>
                <w:lang w:eastAsia="it-IT"/>
              </w:rPr>
              <w:t>La lotta alla corruzione, ruolo dell’ANAC e definizione dei contesti delle aree a rischio dei piani anticorruzione.</w:t>
            </w:r>
          </w:p>
        </w:tc>
      </w:tr>
      <w:tr w:rsidR="009A55DD" w14:paraId="4D5D4524" w14:textId="77777777" w:rsidTr="009A55DD">
        <w:trPr>
          <w:trHeight w:val="236"/>
        </w:trPr>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A3576A"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Legislazione antiriciclaggio, antiterrorismo e sicurezza internazionale.</w:t>
            </w:r>
          </w:p>
        </w:tc>
      </w:tr>
      <w:tr w:rsidR="009A55DD" w14:paraId="392B5353" w14:textId="77777777" w:rsidTr="009A55DD">
        <w:trPr>
          <w:trHeight w:val="214"/>
        </w:trPr>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32426F"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La delinquenza organizzata sotto l’aspetto sociale e giuridico.</w:t>
            </w:r>
          </w:p>
        </w:tc>
      </w:tr>
      <w:tr w:rsidR="009A55DD" w14:paraId="7CA0FEB0" w14:textId="77777777" w:rsidTr="009A55DD">
        <w:trPr>
          <w:trHeight w:val="334"/>
        </w:trPr>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285711" w14:textId="77777777" w:rsidR="009A55DD" w:rsidRDefault="009A55DD">
            <w:pPr>
              <w:rPr>
                <w:rFonts w:ascii="Calibri" w:eastAsia="Calibri" w:hAnsi="Calibri"/>
                <w:sz w:val="24"/>
                <w:szCs w:val="24"/>
                <w:bdr w:val="none" w:sz="0" w:space="0" w:color="auto" w:frame="1"/>
                <w:lang w:eastAsia="it-IT"/>
              </w:rPr>
            </w:pPr>
            <w:r>
              <w:rPr>
                <w:rFonts w:ascii="Calibri" w:eastAsia="Calibri" w:hAnsi="Calibri"/>
                <w:sz w:val="24"/>
                <w:szCs w:val="24"/>
                <w:bdr w:val="none" w:sz="0" w:space="0" w:color="auto" w:frame="1"/>
                <w:lang w:eastAsia="it-IT"/>
              </w:rPr>
              <w:t>Cyber bullismo: tecniche investigative, disciplina giuridica e fattispecie di reato.</w:t>
            </w:r>
          </w:p>
        </w:tc>
      </w:tr>
      <w:tr w:rsidR="009A55DD" w14:paraId="09737A7C" w14:textId="77777777" w:rsidTr="009A55DD">
        <w:trPr>
          <w:trHeight w:val="256"/>
        </w:trPr>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57AC22"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I reati ambientali fattispecie e giurisprudenza.</w:t>
            </w:r>
          </w:p>
        </w:tc>
      </w:tr>
      <w:tr w:rsidR="009A55DD" w14:paraId="4A7B146A" w14:textId="77777777" w:rsidTr="009A55DD">
        <w:trPr>
          <w:trHeight w:val="106"/>
        </w:trPr>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2E8A44" w14:textId="77777777" w:rsidR="009A55DD" w:rsidRDefault="009A55DD">
            <w:pPr>
              <w:jc w:val="both"/>
              <w:rPr>
                <w:rFonts w:ascii="Calibri" w:eastAsia="Calibri" w:hAnsi="Calibri" w:cs="Calibri"/>
                <w:color w:val="000000"/>
                <w:bdr w:val="none" w:sz="0" w:space="0" w:color="auto" w:frame="1"/>
                <w:lang w:eastAsia="it-IT"/>
              </w:rPr>
            </w:pPr>
            <w:proofErr w:type="spellStart"/>
            <w:r>
              <w:rPr>
                <w:rFonts w:ascii="Calibri" w:eastAsia="Calibri" w:hAnsi="Calibri"/>
                <w:sz w:val="24"/>
                <w:szCs w:val="24"/>
                <w:bdr w:val="none" w:sz="0" w:space="0" w:color="auto" w:frame="1"/>
                <w:lang w:eastAsia="it-IT"/>
              </w:rPr>
              <w:t>Stalking</w:t>
            </w:r>
            <w:proofErr w:type="spellEnd"/>
            <w:r>
              <w:rPr>
                <w:rFonts w:ascii="Calibri" w:eastAsia="Calibri" w:hAnsi="Calibri"/>
                <w:sz w:val="24"/>
                <w:szCs w:val="24"/>
                <w:bdr w:val="none" w:sz="0" w:space="0" w:color="auto" w:frame="1"/>
                <w:lang w:eastAsia="it-IT"/>
              </w:rPr>
              <w:t xml:space="preserve"> e </w:t>
            </w:r>
            <w:proofErr w:type="spellStart"/>
            <w:r>
              <w:rPr>
                <w:rFonts w:ascii="Calibri" w:eastAsia="Calibri" w:hAnsi="Calibri"/>
                <w:sz w:val="24"/>
                <w:szCs w:val="24"/>
                <w:bdr w:val="none" w:sz="0" w:space="0" w:color="auto" w:frame="1"/>
                <w:lang w:eastAsia="it-IT"/>
              </w:rPr>
              <w:t>femminicidio</w:t>
            </w:r>
            <w:proofErr w:type="spellEnd"/>
            <w:r>
              <w:rPr>
                <w:rFonts w:ascii="Calibri" w:eastAsia="Calibri" w:hAnsi="Calibri"/>
                <w:sz w:val="24"/>
                <w:szCs w:val="24"/>
                <w:bdr w:val="none" w:sz="0" w:space="0" w:color="auto" w:frame="1"/>
                <w:lang w:eastAsia="it-IT"/>
              </w:rPr>
              <w:t>: aspetti giuridici, manipolatori e relazioni patologiche.</w:t>
            </w:r>
          </w:p>
        </w:tc>
      </w:tr>
      <w:tr w:rsidR="009A55DD" w14:paraId="7E90F437" w14:textId="77777777" w:rsidTr="009A55DD">
        <w:trPr>
          <w:trHeight w:val="495"/>
        </w:trPr>
        <w:tc>
          <w:tcPr>
            <w:tcW w:w="9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CB0BCF"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Neuroscienze– lo IAT (</w:t>
            </w:r>
            <w:proofErr w:type="spellStart"/>
            <w:r>
              <w:rPr>
                <w:rFonts w:ascii="Calibri" w:eastAsia="Calibri" w:hAnsi="Calibri"/>
                <w:sz w:val="24"/>
                <w:szCs w:val="24"/>
                <w:bdr w:val="none" w:sz="0" w:space="0" w:color="auto" w:frame="1"/>
                <w:lang w:eastAsia="it-IT"/>
              </w:rPr>
              <w:t>Implicit</w:t>
            </w:r>
            <w:proofErr w:type="spellEnd"/>
            <w:r>
              <w:rPr>
                <w:rFonts w:ascii="Calibri" w:eastAsia="Calibri" w:hAnsi="Calibri"/>
                <w:sz w:val="24"/>
                <w:szCs w:val="24"/>
                <w:bdr w:val="none" w:sz="0" w:space="0" w:color="auto" w:frame="1"/>
                <w:lang w:eastAsia="it-IT"/>
              </w:rPr>
              <w:t xml:space="preserve"> </w:t>
            </w:r>
            <w:proofErr w:type="spellStart"/>
            <w:r>
              <w:rPr>
                <w:rFonts w:ascii="Calibri" w:eastAsia="Calibri" w:hAnsi="Calibri"/>
                <w:sz w:val="24"/>
                <w:szCs w:val="24"/>
                <w:bdr w:val="none" w:sz="0" w:space="0" w:color="auto" w:frame="1"/>
                <w:lang w:eastAsia="it-IT"/>
              </w:rPr>
              <w:t>Association</w:t>
            </w:r>
            <w:proofErr w:type="spellEnd"/>
            <w:r>
              <w:rPr>
                <w:rFonts w:ascii="Calibri" w:eastAsia="Calibri" w:hAnsi="Calibri"/>
                <w:sz w:val="24"/>
                <w:szCs w:val="24"/>
                <w:bdr w:val="none" w:sz="0" w:space="0" w:color="auto" w:frame="1"/>
                <w:lang w:eastAsia="it-IT"/>
              </w:rPr>
              <w:t xml:space="preserve"> Test): la macchina della memoria. Valutazione in ambito forense.</w:t>
            </w:r>
          </w:p>
        </w:tc>
      </w:tr>
    </w:tbl>
    <w:p w14:paraId="19F5D11A" w14:textId="77777777" w:rsidR="009A55DD" w:rsidRDefault="009A55DD" w:rsidP="009A55DD">
      <w:pPr>
        <w:spacing w:after="0" w:line="276" w:lineRule="auto"/>
        <w:jc w:val="both"/>
        <w:rPr>
          <w:rFonts w:ascii="Calibri" w:eastAsia="Calibri" w:hAnsi="Calibri" w:cs="Times New Roman"/>
          <w:sz w:val="24"/>
          <w:szCs w:val="24"/>
        </w:rPr>
      </w:pPr>
    </w:p>
    <w:tbl>
      <w:tblPr>
        <w:tblStyle w:val="TableNormal"/>
        <w:tblW w:w="936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9A55DD" w14:paraId="217F6025" w14:textId="77777777" w:rsidTr="009A55DD">
        <w:trPr>
          <w:trHeight w:val="89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639450" w14:textId="77777777" w:rsidR="009A55DD" w:rsidRDefault="009A55DD">
            <w:pPr>
              <w:jc w:val="center"/>
              <w:rPr>
                <w:rFonts w:ascii="Calibri" w:eastAsia="Calibri" w:hAnsi="Calibri" w:cs="Calibri"/>
                <w:b/>
                <w:bCs/>
                <w:color w:val="000000"/>
                <w:sz w:val="28"/>
                <w:szCs w:val="28"/>
                <w:bdr w:val="none" w:sz="0" w:space="0" w:color="auto" w:frame="1"/>
                <w:lang w:eastAsia="it-IT"/>
              </w:rPr>
            </w:pPr>
            <w:r>
              <w:rPr>
                <w:rFonts w:ascii="Calibri" w:eastAsia="Calibri" w:hAnsi="Calibri"/>
                <w:b/>
                <w:bCs/>
                <w:sz w:val="28"/>
                <w:szCs w:val="28"/>
                <w:bdr w:val="none" w:sz="0" w:space="0" w:color="auto" w:frame="1"/>
                <w:lang w:eastAsia="it-IT"/>
              </w:rPr>
              <w:lastRenderedPageBreak/>
              <w:t>TERZO MODULO: LE ATTIVITA’ INVESTIGATIVE</w:t>
            </w:r>
          </w:p>
          <w:p w14:paraId="353D6794" w14:textId="77777777" w:rsidR="009A55DD" w:rsidRDefault="009A55DD">
            <w:pPr>
              <w:jc w:val="center"/>
              <w:rPr>
                <w:b/>
                <w:bCs/>
                <w:sz w:val="28"/>
                <w:szCs w:val="28"/>
                <w:bdr w:val="none" w:sz="0" w:space="0" w:color="auto" w:frame="1"/>
                <w:lang w:eastAsia="it-IT"/>
              </w:rPr>
            </w:pPr>
            <w:r>
              <w:rPr>
                <w:rFonts w:ascii="Calibri" w:eastAsia="Calibri" w:hAnsi="Calibri"/>
                <w:b/>
                <w:bCs/>
                <w:sz w:val="28"/>
                <w:szCs w:val="28"/>
                <w:bdr w:val="none" w:sz="0" w:space="0" w:color="auto" w:frame="1"/>
                <w:lang w:eastAsia="it-IT"/>
              </w:rPr>
              <w:t>SSD: IUS/16, IUS/17</w:t>
            </w:r>
          </w:p>
          <w:p w14:paraId="0FBB5A2E" w14:textId="77777777" w:rsidR="009A55DD" w:rsidRDefault="009A55DD">
            <w:pPr>
              <w:jc w:val="center"/>
              <w:rPr>
                <w:rFonts w:ascii="Calibri" w:eastAsia="Calibri" w:hAnsi="Calibri" w:cs="Calibri"/>
                <w:color w:val="000000"/>
                <w:bdr w:val="none" w:sz="0" w:space="0" w:color="auto" w:frame="1"/>
                <w:lang w:eastAsia="it-IT"/>
              </w:rPr>
            </w:pPr>
            <w:r>
              <w:rPr>
                <w:rFonts w:ascii="Calibri" w:eastAsia="Calibri" w:hAnsi="Calibri"/>
                <w:b/>
                <w:bCs/>
                <w:sz w:val="28"/>
                <w:szCs w:val="28"/>
                <w:bdr w:val="none" w:sz="0" w:space="0" w:color="auto" w:frame="1"/>
                <w:lang w:eastAsia="it-IT"/>
              </w:rPr>
              <w:t>CFU: 8</w:t>
            </w:r>
          </w:p>
        </w:tc>
      </w:tr>
      <w:tr w:rsidR="009A55DD" w14:paraId="1CF26E87" w14:textId="77777777" w:rsidTr="009A55DD">
        <w:trPr>
          <w:trHeight w:val="37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981F38"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Il Pubblico Ministero e le indagini preliminari.</w:t>
            </w:r>
          </w:p>
        </w:tc>
      </w:tr>
      <w:tr w:rsidR="009A55DD" w14:paraId="242FAF01" w14:textId="77777777" w:rsidTr="009A55DD">
        <w:trPr>
          <w:trHeight w:val="21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86F9F3"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Il Giudice e il dibattimento.</w:t>
            </w:r>
          </w:p>
        </w:tc>
      </w:tr>
      <w:tr w:rsidR="009A55DD" w14:paraId="07383431" w14:textId="77777777" w:rsidTr="009A55DD">
        <w:trPr>
          <w:trHeight w:val="19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597707"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Attività di investigazione difensiva.</w:t>
            </w:r>
          </w:p>
        </w:tc>
      </w:tr>
      <w:tr w:rsidR="009A55DD" w14:paraId="62B3EF60" w14:textId="77777777" w:rsidTr="009A55DD">
        <w:trPr>
          <w:trHeight w:val="324"/>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36FDD1"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Attività di Polizia Giudiziaria.</w:t>
            </w:r>
          </w:p>
        </w:tc>
      </w:tr>
      <w:tr w:rsidR="009A55DD" w14:paraId="27892753" w14:textId="77777777" w:rsidTr="009A55DD">
        <w:trPr>
          <w:trHeight w:val="26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F31569"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Attività di indagine e prevenzione antiterrorismo interno ed esterno.</w:t>
            </w:r>
          </w:p>
        </w:tc>
      </w:tr>
      <w:tr w:rsidR="009A55DD" w14:paraId="18B05196" w14:textId="77777777" w:rsidTr="009A55DD">
        <w:trPr>
          <w:trHeight w:val="23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B66E3F"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Misure di prevenzione per il contrasto alle mafie.</w:t>
            </w:r>
          </w:p>
        </w:tc>
      </w:tr>
      <w:tr w:rsidR="009A55DD" w14:paraId="30A9C250" w14:textId="77777777" w:rsidTr="009A55DD">
        <w:trPr>
          <w:trHeight w:val="344"/>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36B425"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 xml:space="preserve">Le investigazioni private e la privacy. </w:t>
            </w:r>
          </w:p>
        </w:tc>
      </w:tr>
      <w:tr w:rsidR="009A55DD" w14:paraId="69E14692" w14:textId="77777777" w:rsidTr="009A55DD">
        <w:trPr>
          <w:trHeight w:val="26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904CDA"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 xml:space="preserve">Digital </w:t>
            </w:r>
            <w:proofErr w:type="spellStart"/>
            <w:r>
              <w:rPr>
                <w:rFonts w:ascii="Calibri" w:eastAsia="Calibri" w:hAnsi="Calibri"/>
                <w:sz w:val="24"/>
                <w:szCs w:val="24"/>
                <w:bdr w:val="none" w:sz="0" w:space="0" w:color="auto" w:frame="1"/>
                <w:lang w:eastAsia="it-IT"/>
              </w:rPr>
              <w:t>Forensic</w:t>
            </w:r>
            <w:proofErr w:type="spellEnd"/>
            <w:r>
              <w:rPr>
                <w:rFonts w:ascii="Calibri" w:eastAsia="Calibri" w:hAnsi="Calibri"/>
                <w:sz w:val="24"/>
                <w:szCs w:val="24"/>
                <w:bdr w:val="none" w:sz="0" w:space="0" w:color="auto" w:frame="1"/>
                <w:lang w:eastAsia="it-IT"/>
              </w:rPr>
              <w:t>.</w:t>
            </w:r>
          </w:p>
        </w:tc>
      </w:tr>
      <w:tr w:rsidR="009A55DD" w14:paraId="4F7F5D29" w14:textId="77777777" w:rsidTr="009A55DD">
        <w:trPr>
          <w:trHeight w:val="23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5D4727" w14:textId="77777777" w:rsidR="009A55DD" w:rsidRDefault="009A55DD">
            <w:pPr>
              <w:jc w:val="both"/>
              <w:rPr>
                <w:rFonts w:ascii="Calibri" w:eastAsia="Calibri" w:hAnsi="Calibri"/>
                <w:sz w:val="24"/>
                <w:szCs w:val="24"/>
                <w:bdr w:val="none" w:sz="0" w:space="0" w:color="auto" w:frame="1"/>
                <w:lang w:eastAsia="it-IT"/>
              </w:rPr>
            </w:pPr>
            <w:r>
              <w:rPr>
                <w:rFonts w:ascii="Calibri" w:eastAsia="Calibri" w:hAnsi="Calibri"/>
                <w:sz w:val="24"/>
                <w:szCs w:val="24"/>
                <w:bdr w:val="none" w:sz="0" w:space="0" w:color="auto" w:frame="1"/>
                <w:lang w:eastAsia="it-IT"/>
              </w:rPr>
              <w:t>Le fattispecie di reato connesse all’associazione mafiosa nella normativa e nella giurisprudenza.</w:t>
            </w:r>
          </w:p>
        </w:tc>
      </w:tr>
    </w:tbl>
    <w:p w14:paraId="6425DE5D" w14:textId="77777777" w:rsidR="009A55DD" w:rsidRDefault="009A55DD" w:rsidP="009A55DD">
      <w:pPr>
        <w:spacing w:after="0" w:line="276" w:lineRule="auto"/>
        <w:jc w:val="both"/>
        <w:rPr>
          <w:rFonts w:ascii="Calibri" w:eastAsia="Calibri" w:hAnsi="Calibri" w:cs="Times New Roman"/>
          <w:sz w:val="24"/>
          <w:szCs w:val="24"/>
        </w:rPr>
      </w:pPr>
    </w:p>
    <w:tbl>
      <w:tblPr>
        <w:tblStyle w:val="TableNormal"/>
        <w:tblpPr w:leftFromText="141" w:rightFromText="141" w:vertAnchor="text" w:horzAnchor="margin" w:tblpX="80" w:tblpY="120"/>
        <w:tblOverlap w:val="never"/>
        <w:tblW w:w="93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9A55DD" w:rsidRPr="00C202BC" w14:paraId="524B42DE" w14:textId="77777777" w:rsidTr="009A55DD">
        <w:trPr>
          <w:trHeight w:val="849"/>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D078EB" w14:textId="77777777" w:rsidR="009A55DD" w:rsidRDefault="009A55DD">
            <w:pPr>
              <w:jc w:val="center"/>
              <w:rPr>
                <w:rFonts w:ascii="Calibri" w:eastAsia="Calibri" w:hAnsi="Calibri" w:cs="Calibri"/>
                <w:b/>
                <w:bCs/>
                <w:color w:val="000000"/>
                <w:sz w:val="28"/>
                <w:szCs w:val="28"/>
                <w:bdr w:val="none" w:sz="0" w:space="0" w:color="auto" w:frame="1"/>
                <w:lang w:eastAsia="it-IT"/>
              </w:rPr>
            </w:pPr>
            <w:r>
              <w:rPr>
                <w:rFonts w:ascii="Calibri" w:eastAsia="Calibri" w:hAnsi="Calibri"/>
                <w:b/>
                <w:bCs/>
                <w:sz w:val="28"/>
                <w:szCs w:val="28"/>
                <w:bdr w:val="none" w:sz="0" w:space="0" w:color="auto" w:frame="1"/>
                <w:lang w:eastAsia="it-IT"/>
              </w:rPr>
              <w:t>QUARTO MODULO: LA SECURITY INTERNA ED ESTERNA</w:t>
            </w:r>
          </w:p>
          <w:p w14:paraId="27BB8EC3" w14:textId="77777777" w:rsidR="009A55DD" w:rsidRDefault="009A55DD">
            <w:pPr>
              <w:jc w:val="center"/>
              <w:rPr>
                <w:b/>
                <w:bCs/>
                <w:sz w:val="28"/>
                <w:szCs w:val="28"/>
                <w:bdr w:val="none" w:sz="0" w:space="0" w:color="auto" w:frame="1"/>
                <w:lang w:val="en-US" w:eastAsia="it-IT"/>
              </w:rPr>
            </w:pPr>
            <w:r>
              <w:rPr>
                <w:rFonts w:ascii="Calibri" w:eastAsia="Calibri" w:hAnsi="Calibri"/>
                <w:b/>
                <w:bCs/>
                <w:sz w:val="28"/>
                <w:szCs w:val="28"/>
                <w:bdr w:val="none" w:sz="0" w:space="0" w:color="auto" w:frame="1"/>
                <w:lang w:val="en-US" w:eastAsia="it-IT"/>
              </w:rPr>
              <w:t>SSD: SECS-P/07, SPS/04</w:t>
            </w:r>
          </w:p>
          <w:p w14:paraId="61609BF0" w14:textId="77777777" w:rsidR="009A55DD" w:rsidRDefault="009A55DD">
            <w:pPr>
              <w:spacing w:line="276" w:lineRule="auto"/>
              <w:jc w:val="center"/>
              <w:rPr>
                <w:rFonts w:ascii="Calibri" w:eastAsia="Calibri" w:hAnsi="Calibri" w:cs="Calibri"/>
                <w:color w:val="000000"/>
                <w:bdr w:val="none" w:sz="0" w:space="0" w:color="auto" w:frame="1"/>
                <w:lang w:val="en-US" w:eastAsia="it-IT"/>
              </w:rPr>
            </w:pPr>
            <w:r>
              <w:rPr>
                <w:rFonts w:ascii="Calibri" w:eastAsia="Calibri" w:hAnsi="Calibri"/>
                <w:b/>
                <w:bCs/>
                <w:sz w:val="28"/>
                <w:szCs w:val="28"/>
                <w:bdr w:val="none" w:sz="0" w:space="0" w:color="auto" w:frame="1"/>
                <w:lang w:val="en-US" w:eastAsia="it-IT"/>
              </w:rPr>
              <w:t>CFU: 9</w:t>
            </w:r>
          </w:p>
        </w:tc>
      </w:tr>
      <w:tr w:rsidR="009A55DD" w14:paraId="3F953487" w14:textId="77777777" w:rsidTr="009A55DD">
        <w:trPr>
          <w:trHeight w:val="374"/>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512214" w14:textId="77777777" w:rsidR="009A55DD" w:rsidRDefault="009A55DD">
            <w:pPr>
              <w:spacing w:after="200" w:line="276" w:lineRule="auto"/>
              <w:rPr>
                <w:rFonts w:ascii="Calibri" w:eastAsia="Calibri" w:hAnsi="Calibri" w:cs="Calibri"/>
                <w:color w:val="000000"/>
                <w:bdr w:val="none" w:sz="0" w:space="0" w:color="auto" w:frame="1"/>
                <w:lang w:eastAsia="it-IT"/>
              </w:rPr>
            </w:pPr>
            <w:r>
              <w:rPr>
                <w:rFonts w:ascii="Calibri" w:eastAsia="Calibri" w:hAnsi="Calibri" w:cs="Arial Unicode MS"/>
                <w:sz w:val="24"/>
                <w:szCs w:val="24"/>
                <w:bdr w:val="none" w:sz="0" w:space="0" w:color="auto" w:frame="1"/>
                <w:lang w:eastAsia="it-IT"/>
              </w:rPr>
              <w:t xml:space="preserve">Security aziendale. </w:t>
            </w:r>
          </w:p>
        </w:tc>
      </w:tr>
      <w:tr w:rsidR="009A55DD" w14:paraId="401377FF" w14:textId="77777777" w:rsidTr="009A55DD">
        <w:trPr>
          <w:trHeight w:val="25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0D0206" w14:textId="77777777" w:rsidR="009A55DD" w:rsidRDefault="009A55DD">
            <w:pPr>
              <w:spacing w:line="276" w:lineRule="auto"/>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 xml:space="preserve">Security e </w:t>
            </w:r>
            <w:proofErr w:type="spellStart"/>
            <w:r>
              <w:rPr>
                <w:rFonts w:ascii="Calibri" w:eastAsia="Calibri" w:hAnsi="Calibri"/>
                <w:sz w:val="24"/>
                <w:szCs w:val="24"/>
                <w:bdr w:val="none" w:sz="0" w:space="0" w:color="auto" w:frame="1"/>
                <w:lang w:eastAsia="it-IT"/>
              </w:rPr>
              <w:t>Safety</w:t>
            </w:r>
            <w:proofErr w:type="spellEnd"/>
            <w:r>
              <w:rPr>
                <w:rFonts w:ascii="Calibri" w:eastAsia="Calibri" w:hAnsi="Calibri"/>
                <w:sz w:val="24"/>
                <w:szCs w:val="24"/>
                <w:bdr w:val="none" w:sz="0" w:space="0" w:color="auto" w:frame="1"/>
                <w:lang w:eastAsia="it-IT"/>
              </w:rPr>
              <w:t>.</w:t>
            </w:r>
          </w:p>
        </w:tc>
      </w:tr>
      <w:tr w:rsidR="009A55DD" w14:paraId="0782E0C1" w14:textId="77777777" w:rsidTr="009A55DD">
        <w:trPr>
          <w:trHeight w:val="19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EF46FB" w14:textId="77777777" w:rsidR="009A55DD" w:rsidRDefault="009A55DD">
            <w:pPr>
              <w:spacing w:line="276" w:lineRule="auto"/>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 xml:space="preserve">Security aeroportuale. </w:t>
            </w:r>
          </w:p>
        </w:tc>
      </w:tr>
      <w:tr w:rsidR="009A55DD" w14:paraId="4E7C38D1" w14:textId="77777777" w:rsidTr="009A55DD">
        <w:trPr>
          <w:trHeight w:val="36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F51039" w14:textId="77777777" w:rsidR="009A55DD" w:rsidRDefault="009A55DD">
            <w:pPr>
              <w:jc w:val="both"/>
              <w:rPr>
                <w:rFonts w:ascii="Calibri" w:eastAsia="Calibri" w:hAnsi="Calibri"/>
                <w:sz w:val="24"/>
                <w:szCs w:val="24"/>
                <w:bdr w:val="none" w:sz="0" w:space="0" w:color="auto" w:frame="1"/>
                <w:lang w:eastAsia="it-IT"/>
              </w:rPr>
            </w:pPr>
            <w:r>
              <w:rPr>
                <w:rFonts w:ascii="Calibri" w:eastAsia="Calibri" w:hAnsi="Calibri"/>
                <w:sz w:val="24"/>
                <w:szCs w:val="24"/>
                <w:bdr w:val="none" w:sz="0" w:space="0" w:color="auto" w:frame="1"/>
                <w:lang w:eastAsia="it-IT"/>
              </w:rPr>
              <w:t>Intelligence ed evoluzione degli scenari internazionali.</w:t>
            </w:r>
          </w:p>
        </w:tc>
      </w:tr>
      <w:tr w:rsidR="009A55DD" w14:paraId="2646BE91" w14:textId="77777777" w:rsidTr="009A55DD">
        <w:trPr>
          <w:trHeight w:val="165"/>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9C892A" w14:textId="77777777" w:rsidR="009A55DD" w:rsidRDefault="009A55DD">
            <w:pPr>
              <w:spacing w:line="276" w:lineRule="auto"/>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Sicurezza strategica globale.</w:t>
            </w:r>
          </w:p>
        </w:tc>
      </w:tr>
      <w:tr w:rsidR="009A55DD" w14:paraId="1E2F7D08" w14:textId="77777777" w:rsidTr="009A55DD">
        <w:trPr>
          <w:trHeight w:val="10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097DE5" w14:textId="77777777" w:rsidR="009A55DD" w:rsidRDefault="009A55DD">
            <w:pPr>
              <w:spacing w:line="276" w:lineRule="auto"/>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Sociologia della sicurezza  urbana.</w:t>
            </w:r>
          </w:p>
        </w:tc>
      </w:tr>
      <w:tr w:rsidR="009A55DD" w14:paraId="0500C9BA" w14:textId="77777777" w:rsidTr="009A55DD">
        <w:trPr>
          <w:trHeight w:val="3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DC5049" w14:textId="77777777" w:rsidR="009A55DD" w:rsidRDefault="009A55DD">
            <w:pPr>
              <w:spacing w:line="276" w:lineRule="auto"/>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 xml:space="preserve">Il ruolo dei Comuni nella sicurezza urbana ed integrata. </w:t>
            </w:r>
          </w:p>
        </w:tc>
      </w:tr>
      <w:tr w:rsidR="009A55DD" w14:paraId="7A4A1761" w14:textId="77777777" w:rsidTr="009A55DD">
        <w:trPr>
          <w:trHeight w:val="39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47A9CF" w14:textId="77777777" w:rsidR="009A55DD" w:rsidRDefault="009A55DD">
            <w:pPr>
              <w:jc w:val="both"/>
              <w:rPr>
                <w:rFonts w:ascii="Calibri" w:eastAsia="Calibri" w:hAnsi="Calibri"/>
                <w:sz w:val="24"/>
                <w:szCs w:val="24"/>
                <w:bdr w:val="none" w:sz="0" w:space="0" w:color="auto" w:frame="1"/>
                <w:lang w:eastAsia="it-IT"/>
              </w:rPr>
            </w:pPr>
            <w:r>
              <w:rPr>
                <w:rFonts w:ascii="Calibri" w:eastAsia="Calibri" w:hAnsi="Calibri"/>
                <w:sz w:val="24"/>
                <w:szCs w:val="24"/>
                <w:bdr w:val="none" w:sz="0" w:space="0" w:color="auto" w:frame="1"/>
                <w:lang w:eastAsia="it-IT"/>
              </w:rPr>
              <w:t>Fenomeni immigratori in Italia e in Europa: flussi migratori convivenza sociale e dinamiche internazionali.</w:t>
            </w:r>
          </w:p>
        </w:tc>
      </w:tr>
      <w:tr w:rsidR="009A55DD" w14:paraId="67E6D40A" w14:textId="77777777" w:rsidTr="009A55DD">
        <w:trPr>
          <w:trHeight w:val="25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6FD263" w14:textId="77777777" w:rsidR="009A55DD" w:rsidRDefault="009A55DD">
            <w:pPr>
              <w:jc w:val="both"/>
              <w:rPr>
                <w:rFonts w:ascii="Calibri" w:eastAsia="Calibri" w:hAnsi="Calibri"/>
                <w:sz w:val="24"/>
                <w:szCs w:val="24"/>
                <w:bdr w:val="none" w:sz="0" w:space="0" w:color="auto" w:frame="1"/>
                <w:lang w:eastAsia="it-IT"/>
              </w:rPr>
            </w:pPr>
            <w:r>
              <w:rPr>
                <w:rFonts w:ascii="Calibri" w:eastAsia="Calibri" w:hAnsi="Calibri"/>
                <w:sz w:val="24"/>
                <w:szCs w:val="24"/>
                <w:bdr w:val="none" w:sz="0" w:space="0" w:color="auto" w:frame="1"/>
                <w:lang w:eastAsia="it-IT"/>
              </w:rPr>
              <w:t>Carcere: organizzazione in regime di alta sicurezza.</w:t>
            </w:r>
          </w:p>
        </w:tc>
      </w:tr>
      <w:tr w:rsidR="009A55DD" w14:paraId="3CAD4CB9" w14:textId="77777777" w:rsidTr="009A55DD">
        <w:trPr>
          <w:trHeight w:val="230"/>
        </w:trPr>
        <w:tc>
          <w:tcPr>
            <w:tcW w:w="935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1D6166B1"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Infiltrazione mafiosa nel mondo dell’impresa.</w:t>
            </w:r>
          </w:p>
        </w:tc>
      </w:tr>
      <w:tr w:rsidR="009A55DD" w14:paraId="46801FE7" w14:textId="77777777" w:rsidTr="009A55DD">
        <w:trPr>
          <w:trHeight w:val="596"/>
        </w:trPr>
        <w:tc>
          <w:tcPr>
            <w:tcW w:w="9356" w:type="dxa"/>
            <w:tcBorders>
              <w:top w:val="single" w:sz="4" w:space="0" w:color="auto"/>
              <w:left w:val="nil"/>
              <w:bottom w:val="nil"/>
              <w:right w:val="nil"/>
            </w:tcBorders>
            <w:shd w:val="clear" w:color="auto" w:fill="auto"/>
            <w:tcMar>
              <w:top w:w="80" w:type="dxa"/>
              <w:left w:w="80" w:type="dxa"/>
              <w:bottom w:w="80" w:type="dxa"/>
              <w:right w:w="80" w:type="dxa"/>
            </w:tcMar>
          </w:tcPr>
          <w:p w14:paraId="5F65266D" w14:textId="77777777" w:rsidR="009A55DD" w:rsidRDefault="009A55DD">
            <w:pPr>
              <w:spacing w:before="240" w:after="200" w:line="276" w:lineRule="auto"/>
              <w:rPr>
                <w:rFonts w:ascii="Calibri" w:eastAsia="Calibri" w:hAnsi="Calibri" w:cs="Calibri"/>
                <w:color w:val="000000"/>
                <w:bdr w:val="none" w:sz="0" w:space="0" w:color="auto" w:frame="1"/>
                <w:lang w:eastAsia="it-IT"/>
              </w:rPr>
            </w:pPr>
          </w:p>
        </w:tc>
      </w:tr>
      <w:tr w:rsidR="009A55DD" w14:paraId="7CCD44DF" w14:textId="77777777" w:rsidTr="009A55DD">
        <w:trPr>
          <w:trHeight w:val="1033"/>
        </w:trPr>
        <w:tc>
          <w:tcPr>
            <w:tcW w:w="935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54C7DF" w14:textId="77777777" w:rsidR="009A55DD" w:rsidRDefault="009A55DD">
            <w:pPr>
              <w:jc w:val="center"/>
              <w:rPr>
                <w:rFonts w:ascii="Calibri" w:eastAsia="Calibri" w:hAnsi="Calibri" w:cs="Calibri"/>
                <w:b/>
                <w:bCs/>
                <w:color w:val="000000"/>
                <w:sz w:val="28"/>
                <w:szCs w:val="28"/>
                <w:bdr w:val="none" w:sz="0" w:space="0" w:color="auto" w:frame="1"/>
                <w:lang w:eastAsia="it-IT"/>
              </w:rPr>
            </w:pPr>
            <w:r>
              <w:rPr>
                <w:rFonts w:ascii="Calibri" w:eastAsia="Calibri" w:hAnsi="Calibri"/>
                <w:b/>
                <w:bCs/>
                <w:sz w:val="28"/>
                <w:szCs w:val="28"/>
                <w:bdr w:val="none" w:sz="0" w:space="0" w:color="auto" w:frame="1"/>
                <w:lang w:eastAsia="it-IT"/>
              </w:rPr>
              <w:lastRenderedPageBreak/>
              <w:t>DIDATTICA LABORATORIALE-SEMINARIALE</w:t>
            </w:r>
          </w:p>
          <w:p w14:paraId="1B847F85" w14:textId="77777777" w:rsidR="009A55DD" w:rsidRDefault="009A55DD">
            <w:pPr>
              <w:jc w:val="center"/>
              <w:rPr>
                <w:b/>
                <w:bCs/>
                <w:sz w:val="28"/>
                <w:szCs w:val="28"/>
                <w:bdr w:val="none" w:sz="0" w:space="0" w:color="auto" w:frame="1"/>
                <w:lang w:eastAsia="it-IT"/>
              </w:rPr>
            </w:pPr>
            <w:r>
              <w:rPr>
                <w:rFonts w:ascii="Calibri" w:eastAsia="Calibri" w:hAnsi="Calibri"/>
                <w:b/>
                <w:bCs/>
                <w:sz w:val="28"/>
                <w:szCs w:val="28"/>
                <w:bdr w:val="none" w:sz="0" w:space="0" w:color="auto" w:frame="1"/>
                <w:lang w:eastAsia="it-IT"/>
              </w:rPr>
              <w:t xml:space="preserve">SSD IUS/16 e 17, IUS/01, SPS/04 e SECS-P/07 </w:t>
            </w:r>
          </w:p>
          <w:p w14:paraId="451CCC0F" w14:textId="77777777" w:rsidR="009A55DD" w:rsidRDefault="009A55DD">
            <w:pPr>
              <w:jc w:val="center"/>
              <w:rPr>
                <w:rFonts w:ascii="Calibri" w:eastAsia="Calibri" w:hAnsi="Calibri" w:cs="Calibri"/>
                <w:color w:val="000000"/>
                <w:bdr w:val="none" w:sz="0" w:space="0" w:color="auto" w:frame="1"/>
                <w:lang w:eastAsia="it-IT"/>
              </w:rPr>
            </w:pPr>
            <w:r>
              <w:rPr>
                <w:rFonts w:ascii="Calibri" w:eastAsia="Calibri" w:hAnsi="Calibri"/>
                <w:b/>
                <w:bCs/>
                <w:sz w:val="28"/>
                <w:szCs w:val="28"/>
                <w:bdr w:val="none" w:sz="0" w:space="0" w:color="auto" w:frame="1"/>
                <w:lang w:eastAsia="it-IT"/>
              </w:rPr>
              <w:t>CFU 7</w:t>
            </w:r>
          </w:p>
        </w:tc>
      </w:tr>
      <w:tr w:rsidR="009A55DD" w14:paraId="20B70F63" w14:textId="77777777" w:rsidTr="009A55DD">
        <w:trPr>
          <w:trHeight w:val="36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D80EA7"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Procedure e tecniche per la sicurezza personale.</w:t>
            </w:r>
          </w:p>
        </w:tc>
      </w:tr>
      <w:tr w:rsidR="009A55DD" w14:paraId="11C966A6" w14:textId="77777777" w:rsidTr="009A55DD">
        <w:trPr>
          <w:trHeight w:val="36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D5FFF7" w14:textId="77777777" w:rsidR="009A55DD" w:rsidRDefault="009A55DD">
            <w:pPr>
              <w:jc w:val="both"/>
              <w:rPr>
                <w:rFonts w:ascii="Calibri" w:eastAsia="Calibri" w:hAnsi="Calibri" w:cs="Calibri"/>
                <w:color w:val="000000"/>
                <w:bdr w:val="none" w:sz="0" w:space="0" w:color="auto" w:frame="1"/>
                <w:lang w:eastAsia="it-IT"/>
              </w:rPr>
            </w:pPr>
            <w:proofErr w:type="spellStart"/>
            <w:r>
              <w:rPr>
                <w:rFonts w:ascii="Calibri" w:eastAsia="Calibri" w:hAnsi="Calibri"/>
                <w:sz w:val="24"/>
                <w:szCs w:val="24"/>
                <w:bdr w:val="none" w:sz="0" w:space="0" w:color="auto" w:frame="1"/>
                <w:lang w:eastAsia="it-IT"/>
              </w:rPr>
              <w:t>Esplosivistica</w:t>
            </w:r>
            <w:proofErr w:type="spellEnd"/>
            <w:r>
              <w:rPr>
                <w:rFonts w:ascii="Calibri" w:eastAsia="Calibri" w:hAnsi="Calibri"/>
                <w:sz w:val="24"/>
                <w:szCs w:val="24"/>
                <w:bdr w:val="none" w:sz="0" w:space="0" w:color="auto" w:frame="1"/>
                <w:lang w:eastAsia="it-IT"/>
              </w:rPr>
              <w:t>.</w:t>
            </w:r>
          </w:p>
        </w:tc>
      </w:tr>
      <w:tr w:rsidR="009A55DD" w14:paraId="4CB92B56" w14:textId="77777777" w:rsidTr="009A55DD">
        <w:trPr>
          <w:trHeight w:val="47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739F74"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Apparecchiature tecniche di video allarme.</w:t>
            </w:r>
          </w:p>
        </w:tc>
      </w:tr>
      <w:tr w:rsidR="009A55DD" w14:paraId="4E70CE17" w14:textId="77777777" w:rsidTr="009A55DD">
        <w:trPr>
          <w:trHeight w:val="38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C0685E"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Strumentazioni di intercettazione audio-video, rilevatori e analizzatori per bonifiche ambientali.</w:t>
            </w:r>
          </w:p>
        </w:tc>
      </w:tr>
      <w:tr w:rsidR="009A55DD" w:rsidRPr="00C202BC" w14:paraId="6E179101" w14:textId="77777777" w:rsidTr="009A55DD">
        <w:trPr>
          <w:trHeight w:val="36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9F3094" w14:textId="77777777" w:rsidR="009A55DD" w:rsidRDefault="009A55DD">
            <w:pPr>
              <w:jc w:val="both"/>
              <w:rPr>
                <w:rFonts w:ascii="Calibri" w:eastAsia="Calibri" w:hAnsi="Calibri" w:cs="Calibri"/>
                <w:color w:val="000000"/>
                <w:bdr w:val="none" w:sz="0" w:space="0" w:color="auto" w:frame="1"/>
                <w:lang w:val="en-US" w:eastAsia="it-IT"/>
              </w:rPr>
            </w:pPr>
            <w:r>
              <w:rPr>
                <w:rFonts w:ascii="Calibri" w:eastAsia="Calibri" w:hAnsi="Calibri"/>
                <w:sz w:val="24"/>
                <w:szCs w:val="24"/>
                <w:bdr w:val="none" w:sz="0" w:space="0" w:color="auto" w:frame="1"/>
                <w:lang w:val="en-US" w:eastAsia="it-IT"/>
              </w:rPr>
              <w:t>Jargon and terminology. Criminal investigation.</w:t>
            </w:r>
          </w:p>
        </w:tc>
      </w:tr>
      <w:tr w:rsidR="009A55DD" w14:paraId="64721D95" w14:textId="77777777" w:rsidTr="009A55DD">
        <w:trPr>
          <w:trHeight w:val="36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22BB24"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L’investigatore privato – attività e tecniche pratiche di indagine.</w:t>
            </w:r>
          </w:p>
        </w:tc>
      </w:tr>
      <w:tr w:rsidR="009A55DD" w14:paraId="70BFED38" w14:textId="77777777" w:rsidTr="009A55DD">
        <w:trPr>
          <w:trHeight w:val="454"/>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E5BE3D"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 xml:space="preserve">Materiali di criminalistica: impiego di prodotti utilizzati per la </w:t>
            </w:r>
            <w:proofErr w:type="spellStart"/>
            <w:r>
              <w:rPr>
                <w:rFonts w:ascii="Calibri" w:eastAsia="Calibri" w:hAnsi="Calibri"/>
                <w:sz w:val="24"/>
                <w:szCs w:val="24"/>
                <w:bdr w:val="none" w:sz="0" w:space="0" w:color="auto" w:frame="1"/>
                <w:lang w:eastAsia="it-IT"/>
              </w:rPr>
              <w:t>repertazione</w:t>
            </w:r>
            <w:proofErr w:type="spellEnd"/>
            <w:r>
              <w:rPr>
                <w:rFonts w:ascii="Calibri" w:eastAsia="Calibri" w:hAnsi="Calibri"/>
                <w:sz w:val="24"/>
                <w:szCs w:val="24"/>
                <w:bdr w:val="none" w:sz="0" w:space="0" w:color="auto" w:frame="1"/>
                <w:lang w:eastAsia="it-IT"/>
              </w:rPr>
              <w:t xml:space="preserve"> sulla scena del crimine.</w:t>
            </w:r>
          </w:p>
        </w:tc>
      </w:tr>
      <w:tr w:rsidR="009A55DD" w14:paraId="27EDF244" w14:textId="77777777" w:rsidTr="009A55DD">
        <w:trPr>
          <w:trHeight w:val="419"/>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FC6CFE" w14:textId="77777777" w:rsidR="009A55DD" w:rsidRDefault="009A55DD">
            <w:pPr>
              <w:jc w:val="both"/>
              <w:rPr>
                <w:rFonts w:ascii="Calibri" w:eastAsia="Calibri" w:hAnsi="Calibri" w:cs="Calibri"/>
                <w:color w:val="000000"/>
                <w:bdr w:val="none" w:sz="0" w:space="0" w:color="auto" w:frame="1"/>
                <w:lang w:eastAsia="it-IT"/>
              </w:rPr>
            </w:pPr>
            <w:r>
              <w:rPr>
                <w:rFonts w:ascii="Calibri" w:eastAsia="Calibri" w:hAnsi="Calibri"/>
                <w:sz w:val="24"/>
                <w:szCs w:val="24"/>
                <w:bdr w:val="none" w:sz="0" w:space="0" w:color="auto" w:frame="1"/>
                <w:lang w:eastAsia="it-IT"/>
              </w:rPr>
              <w:t>Balistica</w:t>
            </w:r>
            <w:r>
              <w:rPr>
                <w:rFonts w:ascii="Calibri" w:eastAsia="Calibri" w:hAnsi="Calibri"/>
                <w:bdr w:val="none" w:sz="0" w:space="0" w:color="auto" w:frame="1"/>
                <w:lang w:eastAsia="it-IT"/>
              </w:rPr>
              <w:t xml:space="preserve">: </w:t>
            </w:r>
            <w:r>
              <w:rPr>
                <w:rFonts w:ascii="Calibri" w:eastAsia="Calibri" w:hAnsi="Calibri"/>
                <w:sz w:val="24"/>
                <w:szCs w:val="24"/>
                <w:bdr w:val="none" w:sz="0" w:space="0" w:color="auto" w:frame="1"/>
                <w:lang w:eastAsia="it-IT"/>
              </w:rPr>
              <w:t>caratteristiche tecniche delle armi e loro classificazione.</w:t>
            </w:r>
          </w:p>
        </w:tc>
      </w:tr>
      <w:tr w:rsidR="009A55DD" w14:paraId="6C40A64D" w14:textId="77777777" w:rsidTr="009A55DD">
        <w:trPr>
          <w:trHeight w:val="40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73D1B3" w14:textId="77777777" w:rsidR="009A55DD" w:rsidRDefault="009A55DD">
            <w:pPr>
              <w:jc w:val="both"/>
              <w:rPr>
                <w:rFonts w:ascii="Calibri" w:eastAsia="Calibri" w:hAnsi="Calibri"/>
                <w:sz w:val="24"/>
                <w:szCs w:val="24"/>
                <w:bdr w:val="none" w:sz="0" w:space="0" w:color="auto" w:frame="1"/>
                <w:lang w:eastAsia="it-IT"/>
              </w:rPr>
            </w:pPr>
            <w:r>
              <w:rPr>
                <w:rFonts w:ascii="Calibri" w:eastAsia="Calibri" w:hAnsi="Calibri"/>
                <w:sz w:val="24"/>
                <w:szCs w:val="24"/>
                <w:bdr w:val="none" w:sz="0" w:space="0" w:color="auto" w:frame="1"/>
                <w:lang w:eastAsia="it-IT"/>
              </w:rPr>
              <w:t>La testimonianza nel processo penale.</w:t>
            </w:r>
          </w:p>
        </w:tc>
      </w:tr>
    </w:tbl>
    <w:p w14:paraId="0738D5EE" w14:textId="77777777" w:rsidR="009A55DD" w:rsidRDefault="009A55DD" w:rsidP="009A55DD">
      <w:pPr>
        <w:spacing w:after="0"/>
        <w:jc w:val="both"/>
        <w:rPr>
          <w:sz w:val="28"/>
        </w:rPr>
      </w:pPr>
    </w:p>
    <w:p w14:paraId="2A73CBFA" w14:textId="77777777" w:rsidR="009A55DD" w:rsidRDefault="009A55DD" w:rsidP="009A55DD">
      <w:pPr>
        <w:spacing w:after="0"/>
        <w:jc w:val="center"/>
        <w:rPr>
          <w:b/>
          <w:sz w:val="24"/>
          <w:szCs w:val="24"/>
        </w:rPr>
      </w:pPr>
      <w:r>
        <w:rPr>
          <w:b/>
          <w:sz w:val="24"/>
          <w:szCs w:val="24"/>
        </w:rPr>
        <w:t>Art. 4</w:t>
      </w:r>
    </w:p>
    <w:p w14:paraId="3764F85C" w14:textId="77777777" w:rsidR="009A55DD" w:rsidRDefault="009A55DD" w:rsidP="009A55DD">
      <w:pPr>
        <w:jc w:val="center"/>
        <w:rPr>
          <w:b/>
          <w:sz w:val="24"/>
          <w:szCs w:val="24"/>
        </w:rPr>
      </w:pPr>
      <w:r>
        <w:rPr>
          <w:b/>
          <w:sz w:val="24"/>
          <w:szCs w:val="24"/>
        </w:rPr>
        <w:t>Crediti formativi e titolo di studio rilasciato</w:t>
      </w:r>
    </w:p>
    <w:p w14:paraId="3798A04A" w14:textId="77777777" w:rsidR="009A55DD" w:rsidRDefault="009A55DD" w:rsidP="009A55DD">
      <w:pPr>
        <w:jc w:val="center"/>
        <w:rPr>
          <w:b/>
          <w:sz w:val="24"/>
          <w:szCs w:val="24"/>
        </w:rPr>
      </w:pPr>
    </w:p>
    <w:p w14:paraId="7549F991" w14:textId="77777777" w:rsidR="009A55DD" w:rsidRDefault="009A55DD" w:rsidP="009A55DD">
      <w:pPr>
        <w:spacing w:after="200" w:line="276" w:lineRule="auto"/>
        <w:jc w:val="both"/>
        <w:rPr>
          <w:sz w:val="24"/>
          <w:szCs w:val="24"/>
        </w:rPr>
      </w:pPr>
      <w:r>
        <w:rPr>
          <w:sz w:val="24"/>
          <w:szCs w:val="24"/>
        </w:rPr>
        <w:t>Il corso di Master, svolto in lingua italiana, ha durata semestrale e conferisce, ai sensi dell’art. 7 comma 4 del D.M. 270/2004 e dell’art. 2 comma 2 del Regolamento di Ateneo per l’Istituzione ed il funzionamento dei Corsi Master, 35 CFU con lezioni frontali, 7 CFU con laboratori, 18 CFU per lavoro di tesina finale per un totale di 60 Crediti Formativi Universitari. Prevede un impegno didattico di 1500 ore complessive di cui almeno n. 210 ore sono riservate a lezioni di didattica frontale, n. 42 ore destinate ad attività di laboratorio, 108 ore per valutazione finale e le restanti per studio individuale e stage presso soggetti istituzionali e privati. Ogni credito formativo universitario corrisponde a 25 ore di studio ripartite nelle varie attività formative.</w:t>
      </w:r>
    </w:p>
    <w:p w14:paraId="31F822D7" w14:textId="77777777" w:rsidR="009A55DD" w:rsidRDefault="009A55DD" w:rsidP="009A55DD">
      <w:pPr>
        <w:spacing w:after="200" w:line="276" w:lineRule="auto"/>
        <w:jc w:val="both"/>
        <w:rPr>
          <w:sz w:val="24"/>
          <w:szCs w:val="24"/>
        </w:rPr>
      </w:pPr>
      <w:r>
        <w:rPr>
          <w:sz w:val="24"/>
          <w:szCs w:val="24"/>
        </w:rPr>
        <w:t>Il conseguimento dei crediti corrispondenti alle varie attività formative è subordinato a verifiche periodiche di accertamento delle competenze acquisite in relazione agli ambiti seguiti.</w:t>
      </w:r>
    </w:p>
    <w:p w14:paraId="175D72FE" w14:textId="77777777" w:rsidR="009A55DD" w:rsidRDefault="009A55DD" w:rsidP="009A55DD">
      <w:pPr>
        <w:jc w:val="both"/>
        <w:rPr>
          <w:sz w:val="24"/>
          <w:szCs w:val="24"/>
        </w:rPr>
      </w:pPr>
      <w:r>
        <w:rPr>
          <w:sz w:val="24"/>
          <w:szCs w:val="24"/>
        </w:rPr>
        <w:t>Le verifiche sono scritte o orali a seconda della materia e le modalità di svolgimento saranno determinate dal Comitato ordinatore.</w:t>
      </w:r>
    </w:p>
    <w:p w14:paraId="7711286D" w14:textId="77777777" w:rsidR="009A55DD" w:rsidRDefault="009A55DD" w:rsidP="009A55DD">
      <w:pPr>
        <w:spacing w:after="200" w:line="276" w:lineRule="auto"/>
        <w:jc w:val="both"/>
        <w:rPr>
          <w:sz w:val="24"/>
          <w:szCs w:val="24"/>
        </w:rPr>
      </w:pPr>
      <w:r>
        <w:rPr>
          <w:sz w:val="24"/>
          <w:szCs w:val="24"/>
        </w:rPr>
        <w:t>I CFU acquisiti potranno essere riconosciuti per l’iscrizione al corso di Laurea Magistrale LM62  “Scienze della politica, della sicurezza internazionale e della comunicazione pubblica” dell’Ateneo della Tuscia come a seguito riportato:</w:t>
      </w:r>
    </w:p>
    <w:p w14:paraId="6848D99A" w14:textId="77777777" w:rsidR="009A55DD" w:rsidRDefault="009A55DD" w:rsidP="009A55DD">
      <w:pPr>
        <w:numPr>
          <w:ilvl w:val="0"/>
          <w:numId w:val="3"/>
        </w:numPr>
        <w:spacing w:after="200" w:line="276" w:lineRule="auto"/>
        <w:contextualSpacing/>
        <w:jc w:val="both"/>
        <w:rPr>
          <w:sz w:val="24"/>
          <w:szCs w:val="24"/>
        </w:rPr>
      </w:pPr>
      <w:r>
        <w:rPr>
          <w:sz w:val="24"/>
          <w:szCs w:val="24"/>
        </w:rPr>
        <w:lastRenderedPageBreak/>
        <w:t>48 ore di docenza Master CRISIS in materia di diritto pubblico e amministrativo con riferimento, tra l’altro, ai seguenti temi: normativa anticorruzione, disciplina dei controlli antimafia e contesti investigativi (</w:t>
      </w:r>
      <w:proofErr w:type="spellStart"/>
      <w:r>
        <w:rPr>
          <w:sz w:val="24"/>
          <w:szCs w:val="24"/>
        </w:rPr>
        <w:t>ssd</w:t>
      </w:r>
      <w:proofErr w:type="spellEnd"/>
      <w:r>
        <w:rPr>
          <w:sz w:val="24"/>
          <w:szCs w:val="24"/>
        </w:rPr>
        <w:t xml:space="preserve">: IUS/09 E IUS/10 8 CFU) con prova di verifica, danno luogo al riconoscimento dell’esame di Diritto dell’informazione pubblica IUS/10, 8 CFU, Esame opzionale (A)  </w:t>
      </w:r>
    </w:p>
    <w:p w14:paraId="4DD0DA76" w14:textId="77777777" w:rsidR="009A55DD" w:rsidRDefault="009A55DD" w:rsidP="009A55DD">
      <w:pPr>
        <w:numPr>
          <w:ilvl w:val="0"/>
          <w:numId w:val="3"/>
        </w:numPr>
        <w:spacing w:after="200" w:line="276" w:lineRule="auto"/>
        <w:contextualSpacing/>
        <w:jc w:val="both"/>
        <w:rPr>
          <w:sz w:val="24"/>
          <w:szCs w:val="24"/>
        </w:rPr>
      </w:pPr>
      <w:r>
        <w:rPr>
          <w:sz w:val="24"/>
          <w:szCs w:val="24"/>
        </w:rPr>
        <w:t>48 ore di docenza Master CRISIS in materia di diritto penale con riferimento, tra l’altro, al ruolo del PM, il GIP, il dibattimento e le attività di indagine (IUS/16 e IUS/17, 8 CFU) con prova di verifica, danno luogo al riconoscimento dell’esame di Diritto penale IUS/17, 8 CFU, Esame a scelta dello studente</w:t>
      </w:r>
    </w:p>
    <w:p w14:paraId="6059C1D3" w14:textId="77777777" w:rsidR="009A55DD" w:rsidRDefault="009A55DD" w:rsidP="009A55DD">
      <w:pPr>
        <w:numPr>
          <w:ilvl w:val="0"/>
          <w:numId w:val="3"/>
        </w:numPr>
        <w:spacing w:after="200" w:line="276" w:lineRule="auto"/>
        <w:contextualSpacing/>
        <w:jc w:val="both"/>
        <w:rPr>
          <w:sz w:val="24"/>
          <w:szCs w:val="24"/>
        </w:rPr>
      </w:pPr>
      <w:r>
        <w:rPr>
          <w:sz w:val="24"/>
          <w:szCs w:val="24"/>
        </w:rPr>
        <w:t>42 ore di docenza Master CRISIS in materia di diritto penale con riferimento, tra l’altro, al mutamento del contesto globale, al terrorismo, sociologia, security e ai fenomeni migratori e multiculturali (SPS/04 e SECS-P/07, 8 CFU) con prova di verifica, danno luogo al riconoscimento dell’esame di Scienza della politica, 7 CFU, SPS/04, Esame obbligatorio</w:t>
      </w:r>
    </w:p>
    <w:p w14:paraId="6E6D9723" w14:textId="77777777" w:rsidR="009A55DD" w:rsidRDefault="009A55DD" w:rsidP="009A55DD">
      <w:pPr>
        <w:numPr>
          <w:ilvl w:val="0"/>
          <w:numId w:val="3"/>
        </w:numPr>
        <w:spacing w:after="200" w:line="276" w:lineRule="auto"/>
        <w:contextualSpacing/>
        <w:jc w:val="both"/>
        <w:rPr>
          <w:sz w:val="24"/>
          <w:szCs w:val="24"/>
        </w:rPr>
      </w:pPr>
      <w:r>
        <w:rPr>
          <w:sz w:val="24"/>
          <w:szCs w:val="24"/>
        </w:rPr>
        <w:t>1 CFU per 6 ore di ciascun laboratorio Master CRISIS oppure 1 CFU per ogni argomento modulare per 6 ore di lezione diverse da quelle nelle materie già riconosciute, danno luogo al riconoscimento di Attività libere a scelta per 6 CFU</w:t>
      </w:r>
    </w:p>
    <w:p w14:paraId="7D4C1199" w14:textId="77777777" w:rsidR="009A55DD" w:rsidRDefault="009A55DD" w:rsidP="009A55DD">
      <w:pPr>
        <w:jc w:val="both"/>
        <w:rPr>
          <w:sz w:val="24"/>
          <w:szCs w:val="24"/>
        </w:rPr>
      </w:pPr>
    </w:p>
    <w:p w14:paraId="6A4C0C65" w14:textId="77777777" w:rsidR="009A55DD" w:rsidRDefault="009A55DD" w:rsidP="009A55DD">
      <w:pPr>
        <w:jc w:val="both"/>
        <w:rPr>
          <w:sz w:val="24"/>
          <w:szCs w:val="24"/>
        </w:rPr>
      </w:pPr>
      <w:r>
        <w:rPr>
          <w:sz w:val="24"/>
          <w:szCs w:val="24"/>
        </w:rPr>
        <w:t>Al termine del Corso, previo superamento della prova finale, verrà rilasciato il titolo di Master Universitario di I livello in Scienze Criminologiche e Forensi, Investigazioni e Sicurezza (CRISIS).</w:t>
      </w:r>
    </w:p>
    <w:p w14:paraId="02847B9A" w14:textId="77777777" w:rsidR="009A55DD" w:rsidRDefault="009A55DD" w:rsidP="009A55DD">
      <w:pPr>
        <w:jc w:val="center"/>
        <w:rPr>
          <w:b/>
          <w:sz w:val="24"/>
          <w:szCs w:val="24"/>
        </w:rPr>
      </w:pPr>
    </w:p>
    <w:p w14:paraId="2F866E8E" w14:textId="77777777" w:rsidR="009A55DD" w:rsidRDefault="009A55DD" w:rsidP="009A55DD">
      <w:pPr>
        <w:spacing w:after="0"/>
        <w:jc w:val="center"/>
        <w:rPr>
          <w:b/>
          <w:sz w:val="24"/>
          <w:szCs w:val="24"/>
        </w:rPr>
      </w:pPr>
      <w:r>
        <w:rPr>
          <w:b/>
          <w:sz w:val="24"/>
          <w:szCs w:val="24"/>
        </w:rPr>
        <w:t>Art. 5</w:t>
      </w:r>
    </w:p>
    <w:p w14:paraId="534C0C7D" w14:textId="77777777" w:rsidR="009A55DD" w:rsidRDefault="009A55DD" w:rsidP="009A55DD">
      <w:pPr>
        <w:spacing w:after="0"/>
        <w:jc w:val="center"/>
        <w:rPr>
          <w:b/>
          <w:sz w:val="24"/>
          <w:szCs w:val="24"/>
        </w:rPr>
      </w:pPr>
      <w:r>
        <w:rPr>
          <w:b/>
          <w:sz w:val="24"/>
          <w:szCs w:val="24"/>
        </w:rPr>
        <w:t>(Convenzioni)</w:t>
      </w:r>
    </w:p>
    <w:p w14:paraId="2787EC28" w14:textId="77777777" w:rsidR="009A55DD" w:rsidRDefault="009A55DD" w:rsidP="009A55DD">
      <w:pPr>
        <w:spacing w:after="0"/>
        <w:jc w:val="center"/>
        <w:rPr>
          <w:b/>
          <w:sz w:val="24"/>
          <w:szCs w:val="24"/>
        </w:rPr>
      </w:pPr>
    </w:p>
    <w:p w14:paraId="247B7EB8" w14:textId="77777777" w:rsidR="009A55DD" w:rsidRDefault="009A55DD" w:rsidP="009A55DD">
      <w:pPr>
        <w:jc w:val="both"/>
        <w:rPr>
          <w:sz w:val="24"/>
          <w:szCs w:val="24"/>
        </w:rPr>
      </w:pPr>
      <w:r>
        <w:rPr>
          <w:sz w:val="24"/>
          <w:szCs w:val="24"/>
        </w:rPr>
        <w:t>Il Comitato ordinatore esamina le convenzioni con soggetti pubblici e privati al fine di garantire forme di collaborazione didattica e scientifica incluse pubblicazioni e attività seminariale e convegnistica, riduzione delle quote di iscrizione per determinate categorie di soggetti, iniziative anche di comunicazione e sensibilizzazione, di comune interesse nelle materie del Master, nonché per lo svolgimento di stage/tirocini presso soggetti contraenti e per contributi finanziari e borse di studio a sostegno delle attività didattiche del Master.</w:t>
      </w:r>
    </w:p>
    <w:p w14:paraId="30B9178F" w14:textId="77777777" w:rsidR="009A55DD" w:rsidRDefault="009A55DD" w:rsidP="009A55DD">
      <w:pPr>
        <w:jc w:val="center"/>
        <w:rPr>
          <w:b/>
          <w:sz w:val="24"/>
          <w:szCs w:val="24"/>
        </w:rPr>
      </w:pPr>
    </w:p>
    <w:p w14:paraId="47C9A410" w14:textId="77777777" w:rsidR="009A55DD" w:rsidRDefault="009A55DD" w:rsidP="009A55DD">
      <w:pPr>
        <w:spacing w:after="0"/>
        <w:jc w:val="center"/>
        <w:rPr>
          <w:b/>
          <w:sz w:val="24"/>
          <w:szCs w:val="24"/>
        </w:rPr>
      </w:pPr>
      <w:r>
        <w:rPr>
          <w:b/>
          <w:sz w:val="24"/>
          <w:szCs w:val="24"/>
        </w:rPr>
        <w:t>Art. 6</w:t>
      </w:r>
    </w:p>
    <w:p w14:paraId="1DA7CEDC" w14:textId="77777777" w:rsidR="009A55DD" w:rsidRDefault="009A55DD" w:rsidP="009A55DD">
      <w:pPr>
        <w:spacing w:after="0"/>
        <w:jc w:val="center"/>
        <w:rPr>
          <w:b/>
          <w:sz w:val="24"/>
          <w:szCs w:val="24"/>
        </w:rPr>
      </w:pPr>
      <w:r>
        <w:rPr>
          <w:b/>
          <w:sz w:val="24"/>
          <w:szCs w:val="24"/>
        </w:rPr>
        <w:t>(Modifiche al regolamento didattico)</w:t>
      </w:r>
    </w:p>
    <w:p w14:paraId="49B7879E" w14:textId="77777777" w:rsidR="009A55DD" w:rsidRDefault="009A55DD" w:rsidP="009A55DD">
      <w:pPr>
        <w:spacing w:after="0"/>
        <w:jc w:val="center"/>
        <w:rPr>
          <w:b/>
          <w:sz w:val="24"/>
          <w:szCs w:val="24"/>
        </w:rPr>
      </w:pPr>
    </w:p>
    <w:p w14:paraId="20DA8CFF" w14:textId="77777777" w:rsidR="009A55DD" w:rsidRDefault="009A55DD" w:rsidP="009A55DD">
      <w:pPr>
        <w:jc w:val="both"/>
        <w:rPr>
          <w:sz w:val="24"/>
          <w:szCs w:val="24"/>
        </w:rPr>
      </w:pPr>
      <w:r>
        <w:rPr>
          <w:sz w:val="24"/>
          <w:szCs w:val="24"/>
        </w:rPr>
        <w:t>Le modifiche al regolamento didattico sono approvate con la medesima maggioranza di voti favorevoli prevista dal Regolamento di Ateneo per la sua prima approvazione.</w:t>
      </w:r>
    </w:p>
    <w:p w14:paraId="7B5FC8E2" w14:textId="77777777" w:rsidR="009A55DD" w:rsidRDefault="009A55DD" w:rsidP="009A55DD">
      <w:pPr>
        <w:rPr>
          <w:sz w:val="24"/>
          <w:szCs w:val="24"/>
        </w:rPr>
      </w:pPr>
    </w:p>
    <w:p w14:paraId="24AA736D" w14:textId="77777777" w:rsidR="009A55DD" w:rsidRDefault="009A55DD" w:rsidP="00383F83">
      <w:pPr>
        <w:jc w:val="both"/>
      </w:pPr>
    </w:p>
    <w:sectPr w:rsidR="009A55DD" w:rsidSect="000C32BC">
      <w:footerReference w:type="even" r:id="rId9"/>
      <w:footerReference w:type="default" r:id="rId10"/>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6F1D1" w14:textId="77777777" w:rsidR="00765F5C" w:rsidRDefault="00765F5C" w:rsidP="005F6757">
      <w:pPr>
        <w:spacing w:after="0" w:line="240" w:lineRule="auto"/>
      </w:pPr>
      <w:r>
        <w:separator/>
      </w:r>
    </w:p>
  </w:endnote>
  <w:endnote w:type="continuationSeparator" w:id="0">
    <w:p w14:paraId="1496115C" w14:textId="77777777" w:rsidR="00765F5C" w:rsidRDefault="00765F5C" w:rsidP="005F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9D6C1" w14:textId="77777777" w:rsidR="00F05117" w:rsidRDefault="00186C10" w:rsidP="00F05117">
    <w:pPr>
      <w:pStyle w:val="Pidipagina"/>
      <w:framePr w:wrap="around" w:vAnchor="text" w:hAnchor="margin" w:xAlign="right" w:y="1"/>
      <w:rPr>
        <w:rStyle w:val="Numeropagina"/>
      </w:rPr>
    </w:pPr>
    <w:r>
      <w:rPr>
        <w:rStyle w:val="Numeropagina"/>
      </w:rPr>
      <w:fldChar w:fldCharType="begin"/>
    </w:r>
    <w:r w:rsidR="00F05117">
      <w:rPr>
        <w:rStyle w:val="Numeropagina"/>
      </w:rPr>
      <w:instrText xml:space="preserve">PAGE  </w:instrText>
    </w:r>
    <w:r>
      <w:rPr>
        <w:rStyle w:val="Numeropagina"/>
      </w:rPr>
      <w:fldChar w:fldCharType="end"/>
    </w:r>
  </w:p>
  <w:p w14:paraId="51B099C1" w14:textId="77777777" w:rsidR="00F05117" w:rsidRDefault="00F05117" w:rsidP="0025241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6960" w14:textId="77777777" w:rsidR="00F05117" w:rsidRDefault="00186C10" w:rsidP="00F05117">
    <w:pPr>
      <w:pStyle w:val="Pidipagina"/>
      <w:framePr w:wrap="around" w:vAnchor="text" w:hAnchor="margin" w:xAlign="right" w:y="1"/>
      <w:rPr>
        <w:rStyle w:val="Numeropagina"/>
      </w:rPr>
    </w:pPr>
    <w:r>
      <w:rPr>
        <w:rStyle w:val="Numeropagina"/>
      </w:rPr>
      <w:fldChar w:fldCharType="begin"/>
    </w:r>
    <w:r w:rsidR="00F05117">
      <w:rPr>
        <w:rStyle w:val="Numeropagina"/>
      </w:rPr>
      <w:instrText xml:space="preserve">PAGE  </w:instrText>
    </w:r>
    <w:r>
      <w:rPr>
        <w:rStyle w:val="Numeropagina"/>
      </w:rPr>
      <w:fldChar w:fldCharType="separate"/>
    </w:r>
    <w:r w:rsidR="00D2449E">
      <w:rPr>
        <w:rStyle w:val="Numeropagina"/>
        <w:noProof/>
      </w:rPr>
      <w:t>1</w:t>
    </w:r>
    <w:r>
      <w:rPr>
        <w:rStyle w:val="Numeropagina"/>
      </w:rPr>
      <w:fldChar w:fldCharType="end"/>
    </w:r>
  </w:p>
  <w:p w14:paraId="241E6E4E" w14:textId="77777777" w:rsidR="00F05117" w:rsidRDefault="00F05117" w:rsidP="0025241C">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2191A" w14:textId="77777777" w:rsidR="00765F5C" w:rsidRDefault="00765F5C" w:rsidP="005F6757">
      <w:pPr>
        <w:spacing w:after="0" w:line="240" w:lineRule="auto"/>
      </w:pPr>
      <w:r>
        <w:separator/>
      </w:r>
    </w:p>
  </w:footnote>
  <w:footnote w:type="continuationSeparator" w:id="0">
    <w:p w14:paraId="625AA804" w14:textId="77777777" w:rsidR="00765F5C" w:rsidRDefault="00765F5C" w:rsidP="005F67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8A0"/>
    <w:multiLevelType w:val="hybridMultilevel"/>
    <w:tmpl w:val="EE086EB6"/>
    <w:lvl w:ilvl="0" w:tplc="CB46C3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E85116"/>
    <w:multiLevelType w:val="hybridMultilevel"/>
    <w:tmpl w:val="A816CDC8"/>
    <w:lvl w:ilvl="0" w:tplc="BDF61C8C">
      <w:start w:val="49"/>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4D4404D"/>
    <w:multiLevelType w:val="hybridMultilevel"/>
    <w:tmpl w:val="A5A07D54"/>
    <w:lvl w:ilvl="0" w:tplc="6480FC6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71"/>
    <w:rsid w:val="0002034D"/>
    <w:rsid w:val="00043222"/>
    <w:rsid w:val="000561D2"/>
    <w:rsid w:val="00074A36"/>
    <w:rsid w:val="00090789"/>
    <w:rsid w:val="000B0053"/>
    <w:rsid w:val="000C32BC"/>
    <w:rsid w:val="00123E59"/>
    <w:rsid w:val="00132662"/>
    <w:rsid w:val="00173ABC"/>
    <w:rsid w:val="00186C10"/>
    <w:rsid w:val="00193789"/>
    <w:rsid w:val="001C3FC4"/>
    <w:rsid w:val="002421DD"/>
    <w:rsid w:val="0025241C"/>
    <w:rsid w:val="00276C6D"/>
    <w:rsid w:val="00280E75"/>
    <w:rsid w:val="002C0855"/>
    <w:rsid w:val="002C75DF"/>
    <w:rsid w:val="00383F83"/>
    <w:rsid w:val="00384C28"/>
    <w:rsid w:val="003E7C5C"/>
    <w:rsid w:val="00416FEC"/>
    <w:rsid w:val="00422104"/>
    <w:rsid w:val="00424735"/>
    <w:rsid w:val="00457341"/>
    <w:rsid w:val="00464157"/>
    <w:rsid w:val="004C2BDF"/>
    <w:rsid w:val="005029F5"/>
    <w:rsid w:val="00527C34"/>
    <w:rsid w:val="00554855"/>
    <w:rsid w:val="005651AB"/>
    <w:rsid w:val="00584276"/>
    <w:rsid w:val="005C57DF"/>
    <w:rsid w:val="005F6757"/>
    <w:rsid w:val="00602759"/>
    <w:rsid w:val="0062092E"/>
    <w:rsid w:val="006355C2"/>
    <w:rsid w:val="006740DC"/>
    <w:rsid w:val="00742031"/>
    <w:rsid w:val="0075307A"/>
    <w:rsid w:val="00765F5C"/>
    <w:rsid w:val="007913B1"/>
    <w:rsid w:val="007C3A66"/>
    <w:rsid w:val="00826084"/>
    <w:rsid w:val="00881371"/>
    <w:rsid w:val="008A601E"/>
    <w:rsid w:val="00943538"/>
    <w:rsid w:val="00971F34"/>
    <w:rsid w:val="00981CF4"/>
    <w:rsid w:val="009835D4"/>
    <w:rsid w:val="009A55DD"/>
    <w:rsid w:val="00A272D2"/>
    <w:rsid w:val="00A54C18"/>
    <w:rsid w:val="00A551D4"/>
    <w:rsid w:val="00AF61ED"/>
    <w:rsid w:val="00B36ED7"/>
    <w:rsid w:val="00B712CD"/>
    <w:rsid w:val="00C1709B"/>
    <w:rsid w:val="00C202BC"/>
    <w:rsid w:val="00C32D53"/>
    <w:rsid w:val="00C435C6"/>
    <w:rsid w:val="00C4737E"/>
    <w:rsid w:val="00C51052"/>
    <w:rsid w:val="00C63373"/>
    <w:rsid w:val="00C80E1B"/>
    <w:rsid w:val="00C9439D"/>
    <w:rsid w:val="00CB4918"/>
    <w:rsid w:val="00CC5F2F"/>
    <w:rsid w:val="00CC67EE"/>
    <w:rsid w:val="00D2449E"/>
    <w:rsid w:val="00D3220D"/>
    <w:rsid w:val="00D608FF"/>
    <w:rsid w:val="00DB6CEC"/>
    <w:rsid w:val="00DF0A2C"/>
    <w:rsid w:val="00DF659C"/>
    <w:rsid w:val="00E605D8"/>
    <w:rsid w:val="00EF3BEE"/>
    <w:rsid w:val="00EF4F34"/>
    <w:rsid w:val="00F05117"/>
    <w:rsid w:val="00F079D5"/>
    <w:rsid w:val="00F72B6D"/>
    <w:rsid w:val="00FA34A6"/>
    <w:rsid w:val="00FB22B4"/>
    <w:rsid w:val="00FB71A1"/>
    <w:rsid w:val="00FD32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0C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272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1371"/>
    <w:pPr>
      <w:ind w:left="720"/>
      <w:contextualSpacing/>
    </w:pPr>
  </w:style>
  <w:style w:type="character" w:styleId="Collegamentoipertestuale">
    <w:name w:val="Hyperlink"/>
    <w:basedOn w:val="Carpredefinitoparagrafo"/>
    <w:uiPriority w:val="99"/>
    <w:unhideWhenUsed/>
    <w:rsid w:val="00383F83"/>
    <w:rPr>
      <w:color w:val="0563C1" w:themeColor="hyperlink"/>
      <w:u w:val="single"/>
    </w:rPr>
  </w:style>
  <w:style w:type="paragraph" w:styleId="Pidipagina">
    <w:name w:val="footer"/>
    <w:basedOn w:val="Normale"/>
    <w:link w:val="PidipaginaCarattere"/>
    <w:uiPriority w:val="99"/>
    <w:unhideWhenUsed/>
    <w:rsid w:val="0025241C"/>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25241C"/>
  </w:style>
  <w:style w:type="character" w:styleId="Numeropagina">
    <w:name w:val="page number"/>
    <w:basedOn w:val="Carpredefinitoparagrafo"/>
    <w:uiPriority w:val="99"/>
    <w:semiHidden/>
    <w:unhideWhenUsed/>
    <w:rsid w:val="0025241C"/>
  </w:style>
  <w:style w:type="paragraph" w:styleId="Testonotaapidipagina">
    <w:name w:val="footnote text"/>
    <w:basedOn w:val="Normale"/>
    <w:link w:val="TestonotaapidipaginaCarattere"/>
    <w:uiPriority w:val="99"/>
    <w:semiHidden/>
    <w:unhideWhenUsed/>
    <w:rsid w:val="00C32D53"/>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semiHidden/>
    <w:rsid w:val="00C32D53"/>
    <w:rPr>
      <w:sz w:val="24"/>
      <w:szCs w:val="24"/>
    </w:rPr>
  </w:style>
  <w:style w:type="character" w:styleId="Rimandonotaapidipagina">
    <w:name w:val="footnote reference"/>
    <w:basedOn w:val="Carpredefinitoparagrafo"/>
    <w:uiPriority w:val="99"/>
    <w:semiHidden/>
    <w:unhideWhenUsed/>
    <w:rsid w:val="00C32D53"/>
    <w:rPr>
      <w:vertAlign w:val="superscript"/>
    </w:rPr>
  </w:style>
  <w:style w:type="character" w:styleId="Rimandocommento">
    <w:name w:val="annotation reference"/>
    <w:basedOn w:val="Carpredefinitoparagrafo"/>
    <w:uiPriority w:val="99"/>
    <w:semiHidden/>
    <w:unhideWhenUsed/>
    <w:rsid w:val="00422104"/>
    <w:rPr>
      <w:sz w:val="16"/>
      <w:szCs w:val="16"/>
    </w:rPr>
  </w:style>
  <w:style w:type="paragraph" w:styleId="Testocommento">
    <w:name w:val="annotation text"/>
    <w:basedOn w:val="Normale"/>
    <w:link w:val="TestocommentoCarattere"/>
    <w:uiPriority w:val="99"/>
    <w:semiHidden/>
    <w:unhideWhenUsed/>
    <w:rsid w:val="0042210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22104"/>
    <w:rPr>
      <w:sz w:val="20"/>
      <w:szCs w:val="20"/>
    </w:rPr>
  </w:style>
  <w:style w:type="paragraph" w:styleId="Soggettocommento">
    <w:name w:val="annotation subject"/>
    <w:basedOn w:val="Testocommento"/>
    <w:next w:val="Testocommento"/>
    <w:link w:val="SoggettocommentoCarattere"/>
    <w:uiPriority w:val="99"/>
    <w:semiHidden/>
    <w:unhideWhenUsed/>
    <w:rsid w:val="00422104"/>
    <w:rPr>
      <w:b/>
      <w:bCs/>
    </w:rPr>
  </w:style>
  <w:style w:type="character" w:customStyle="1" w:styleId="SoggettocommentoCarattere">
    <w:name w:val="Soggetto commento Carattere"/>
    <w:basedOn w:val="TestocommentoCarattere"/>
    <w:link w:val="Soggettocommento"/>
    <w:uiPriority w:val="99"/>
    <w:semiHidden/>
    <w:rsid w:val="00422104"/>
    <w:rPr>
      <w:b/>
      <w:bCs/>
      <w:sz w:val="20"/>
      <w:szCs w:val="20"/>
    </w:rPr>
  </w:style>
  <w:style w:type="paragraph" w:styleId="Testofumetto">
    <w:name w:val="Balloon Text"/>
    <w:basedOn w:val="Normale"/>
    <w:link w:val="TestofumettoCarattere"/>
    <w:uiPriority w:val="99"/>
    <w:semiHidden/>
    <w:unhideWhenUsed/>
    <w:rsid w:val="004221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2104"/>
    <w:rPr>
      <w:rFonts w:ascii="Tahoma" w:hAnsi="Tahoma" w:cs="Tahoma"/>
      <w:sz w:val="16"/>
      <w:szCs w:val="16"/>
    </w:rPr>
  </w:style>
  <w:style w:type="paragraph" w:styleId="Revisione">
    <w:name w:val="Revision"/>
    <w:hidden/>
    <w:uiPriority w:val="99"/>
    <w:semiHidden/>
    <w:rsid w:val="00FB71A1"/>
    <w:pPr>
      <w:spacing w:after="0" w:line="240" w:lineRule="auto"/>
    </w:pPr>
  </w:style>
  <w:style w:type="table" w:customStyle="1" w:styleId="TableNormal">
    <w:name w:val="Table Normal"/>
    <w:rsid w:val="009A55DD"/>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C2B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2BDF"/>
  </w:style>
  <w:style w:type="character" w:styleId="Collegamentovisitato">
    <w:name w:val="FollowedHyperlink"/>
    <w:basedOn w:val="Carpredefinitoparagrafo"/>
    <w:uiPriority w:val="99"/>
    <w:semiHidden/>
    <w:unhideWhenUsed/>
    <w:rsid w:val="001C3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3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stercrisis.unitus.it/"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22F0-296D-0848-BB72-F68ABCDE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2492</Words>
  <Characters>14211</Characters>
  <Application>Microsoft Macintosh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ASterpa</dc:creator>
  <cp:lastModifiedBy>Massimiliano Fabbri</cp:lastModifiedBy>
  <cp:revision>2</cp:revision>
  <dcterms:created xsi:type="dcterms:W3CDTF">2018-12-04T20:06:00Z</dcterms:created>
  <dcterms:modified xsi:type="dcterms:W3CDTF">2018-12-04T20:06:00Z</dcterms:modified>
</cp:coreProperties>
</file>